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BBA3" w14:textId="39DEC8EC" w:rsidR="00A14ECC" w:rsidRPr="00671F5A" w:rsidRDefault="00D27426">
      <w:pPr>
        <w:jc w:val="center"/>
        <w:rPr>
          <w:b/>
          <w:bCs/>
          <w:sz w:val="44"/>
          <w:szCs w:val="44"/>
          <w:rFonts w:ascii="宋体" w:eastAsia="宋体" w:hAnsi="宋体"/>
        </w:rPr>
      </w:pPr>
      <w:r>
        <w:rPr>
          <w:b/>
          <w:bCs/>
          <w:sz w:val="44"/>
          <w:szCs w:val="44"/>
          <w:rFonts w:ascii="宋体" w:hAnsi="宋体"/>
        </w:rPr>
        <w:t xml:space="preserve">BESS Partial Battery Cabinet and PCS Offline Processing SOP</w:t>
      </w:r>
    </w:p>
    <w:p w14:paraId="70B12A83" w14:textId="77777777" w:rsidR="00A14ECC" w:rsidRPr="00E67D35" w:rsidRDefault="00A14ECC">
      <w:pPr>
        <w:jc w:val="center"/>
        <w:rPr>
          <w:rFonts w:ascii="宋体" w:eastAsia="宋体" w:hAnsi="宋体"/>
          <w:sz w:val="36"/>
          <w:szCs w:val="36"/>
        </w:rPr>
      </w:pPr>
    </w:p>
    <w:p w14:paraId="57B8DCAC" w14:textId="5A3507D2" w:rsidR="00A14ECC" w:rsidRPr="00833195" w:rsidRDefault="00F119F1">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None yet</w:t>
      </w:r>
    </w:p>
    <w:p w14:paraId="69F6A0B4" w14:textId="4B3F58B4" w:rsidR="00A14ECC" w:rsidRPr="00833195" w:rsidRDefault="00F119F1">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None yet</w:t>
      </w:r>
    </w:p>
    <w:p w14:paraId="6665728B" w14:textId="77777777" w:rsidR="00616DAC" w:rsidRPr="00616DAC" w:rsidRDefault="00F119F1" w:rsidP="00355E00">
      <w:pPr>
        <w:pStyle w:val="a8"/>
        <w:numPr>
          <w:ilvl w:val="0"/>
          <w:numId w:val="1"/>
        </w:numPr>
        <w:spacing w:line="360" w:lineRule="auto"/>
        <w:ind w:firstLineChars="0"/>
        <w:rPr>
          <w:szCs w:val="21"/>
          <w:rFonts w:ascii="宋体" w:eastAsia="宋体" w:hAnsi="宋体"/>
        </w:rPr>
      </w:pPr>
      <w:r>
        <w:rPr>
          <w:b/>
          <w:bCs/>
          <w:szCs w:val="21"/>
          <w:rFonts w:ascii="宋体" w:hAnsi="宋体"/>
        </w:rPr>
        <w:t xml:space="preserve">Fault phenomenon:</w:t>
      </w:r>
    </w:p>
    <w:p w14:paraId="69211182" w14:textId="6AB12028" w:rsidR="00616DAC" w:rsidRPr="00833195" w:rsidRDefault="00681127" w:rsidP="00616DAC">
      <w:pPr>
        <w:pStyle w:val="a8"/>
        <w:numPr>
          <w:ilvl w:val="0"/>
          <w:numId w:val="7"/>
        </w:numPr>
        <w:spacing w:line="360" w:lineRule="auto"/>
        <w:ind w:firstLineChars="0"/>
        <w:rPr>
          <w:szCs w:val="21"/>
          <w:rFonts w:ascii="宋体" w:eastAsia="宋体" w:hAnsi="宋体"/>
        </w:rPr>
      </w:pPr>
      <w:r>
        <w:rPr>
          <w:szCs w:val="21"/>
          <w:rFonts w:ascii="宋体" w:hAnsi="宋体"/>
        </w:rPr>
        <w:t xml:space="preserve">Some battery cabinets and PCS are displayed offline on the monitoring platform</w:t>
      </w:r>
    </w:p>
    <w:p w14:paraId="30839D34" w14:textId="77777777" w:rsidR="00616DAC" w:rsidRPr="00616DAC" w:rsidRDefault="00F119F1">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09BF834E" w14:textId="777BCF8D" w:rsidR="00A14ECC" w:rsidRDefault="00340EED" w:rsidP="00616DAC">
      <w:pPr>
        <w:pStyle w:val="a8"/>
        <w:numPr>
          <w:ilvl w:val="0"/>
          <w:numId w:val="10"/>
        </w:numPr>
        <w:spacing w:line="360" w:lineRule="auto"/>
        <w:ind w:firstLineChars="0"/>
        <w:rPr>
          <w:szCs w:val="21"/>
          <w:rFonts w:ascii="宋体" w:eastAsia="宋体" w:hAnsi="宋体"/>
        </w:rPr>
      </w:pPr>
      <w:r>
        <w:rPr>
          <w:szCs w:val="21"/>
          <w:rFonts w:ascii="宋体" w:hAnsi="宋体"/>
        </w:rPr>
        <w:t xml:space="preserve">Communication abnormality between switch and PCS</w:t>
      </w:r>
    </w:p>
    <w:p w14:paraId="7638CB52" w14:textId="4552DFB6" w:rsidR="00340EED" w:rsidRPr="00340EED" w:rsidRDefault="00340EED" w:rsidP="00340EED">
      <w:pPr>
        <w:pStyle w:val="a8"/>
        <w:numPr>
          <w:ilvl w:val="0"/>
          <w:numId w:val="10"/>
        </w:numPr>
        <w:spacing w:line="360" w:lineRule="auto"/>
        <w:ind w:firstLineChars="0"/>
        <w:rPr>
          <w:szCs w:val="21"/>
          <w:rFonts w:ascii="宋体" w:eastAsia="宋体" w:hAnsi="宋体"/>
        </w:rPr>
      </w:pPr>
      <w:r>
        <w:rPr>
          <w:szCs w:val="21"/>
          <w:rFonts w:ascii="宋体" w:hAnsi="宋体"/>
        </w:rPr>
        <w:t xml:space="preserve">Corrupt communication line between switch and PCS</w:t>
      </w:r>
    </w:p>
    <w:p w14:paraId="131D0860" w14:textId="4C85603D" w:rsidR="00A14ECC" w:rsidRDefault="00F119F1">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BES-P125X261kWh</w:t>
      </w:r>
    </w:p>
    <w:p w14:paraId="5BD717D3" w14:textId="77777777" w:rsidR="00A14ECC" w:rsidRDefault="00F119F1">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ayout w:type="fixed"/>
        <w:tblLook w:val="04A0" w:firstRow="1" w:lastRow="0" w:firstColumn="1" w:lastColumn="0" w:noHBand="0" w:noVBand="1"/>
      </w:tblPr>
      <w:tblGrid>
        <w:gridCol w:w="1085"/>
        <w:gridCol w:w="4586"/>
        <w:gridCol w:w="3402"/>
      </w:tblGrid>
      <w:tr w:rsidR="00296683" w14:paraId="510E35A2" w14:textId="77777777" w:rsidTr="00745B7F">
        <w:tc>
          <w:tcPr>
            <w:tcW w:w="1085" w:type="dxa"/>
          </w:tcPr>
          <w:p w14:paraId="65B9E865" w14:textId="77777777" w:rsidR="00A14ECC" w:rsidRDefault="00F119F1">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586" w:type="dxa"/>
          </w:tcPr>
          <w:p w14:paraId="2815565D" w14:textId="77777777" w:rsidR="00A14ECC" w:rsidRDefault="00F119F1">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402" w:type="dxa"/>
          </w:tcPr>
          <w:p w14:paraId="559F084C" w14:textId="77777777" w:rsidR="00A14ECC" w:rsidRDefault="00F119F1">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296683" w14:paraId="4587DE4A" w14:textId="77777777" w:rsidTr="00745B7F">
        <w:tc>
          <w:tcPr>
            <w:tcW w:w="1085" w:type="dxa"/>
          </w:tcPr>
          <w:p w14:paraId="292C6284" w14:textId="3D9BA4B5" w:rsidR="00A14ECC" w:rsidRPr="005069C0" w:rsidRDefault="00355E00">
            <w:pPr>
              <w:pStyle w:val="a8"/>
              <w:spacing w:line="360" w:lineRule="auto"/>
              <w:ind w:firstLineChars="0" w:firstLine="0"/>
              <w:rPr>
                <w:szCs w:val="21"/>
                <w:rFonts w:ascii="宋体" w:eastAsia="宋体" w:hAnsi="宋体"/>
              </w:rPr>
            </w:pPr>
            <w:r>
              <w:rPr>
                <w:szCs w:val="21"/>
                <w:rFonts w:ascii="宋体" w:hAnsi="宋体"/>
              </w:rPr>
              <w:t xml:space="preserve">Step1</w:t>
            </w:r>
          </w:p>
        </w:tc>
        <w:tc>
          <w:tcPr>
            <w:tcW w:w="4586" w:type="dxa"/>
          </w:tcPr>
          <w:p w14:paraId="4BEFDE25" w14:textId="77777777" w:rsidR="00745B7F" w:rsidRDefault="00D3378E" w:rsidP="00833195">
            <w:pPr>
              <w:pStyle w:val="a8"/>
              <w:spacing w:line="360" w:lineRule="auto"/>
              <w:rPr>
                <w:szCs w:val="21"/>
                <w:rFonts w:ascii="宋体" w:eastAsia="宋体" w:hAnsi="宋体"/>
              </w:rPr>
            </w:pPr>
            <w:r>
              <w:rPr>
                <w:szCs w:val="21"/>
                <w:rFonts w:ascii="宋体" w:hAnsi="宋体"/>
              </w:rPr>
              <w:t xml:space="preserve">Check to see if the indicator light on the switch is working.</w:t>
            </w:r>
          </w:p>
          <w:p w14:paraId="369C02A2" w14:textId="135A3051" w:rsidR="00833195" w:rsidRDefault="00745B7F" w:rsidP="00833195">
            <w:pPr>
              <w:pStyle w:val="a8"/>
              <w:spacing w:line="360" w:lineRule="auto"/>
              <w:rPr>
                <w:szCs w:val="21"/>
                <w:rFonts w:ascii="宋体" w:eastAsia="宋体" w:hAnsi="宋体"/>
              </w:rPr>
            </w:pPr>
            <w:r>
              <w:rPr>
                <w:szCs w:val="21"/>
                <w:rFonts w:ascii="宋体" w:hAnsi="宋体"/>
              </w:rPr>
              <w:t xml:space="preserve">If the indicator light of the interface corresponding to the PCS on the switch is not lit, refer to Step2;</w:t>
            </w:r>
          </w:p>
          <w:p w14:paraId="26CC338D" w14:textId="4158C2C3" w:rsidR="00A14ECC" w:rsidRPr="005069C0" w:rsidRDefault="00833195" w:rsidP="00833195">
            <w:pPr>
              <w:pStyle w:val="a8"/>
              <w:spacing w:line="360" w:lineRule="auto"/>
              <w:rPr>
                <w:szCs w:val="21"/>
                <w:rFonts w:ascii="宋体" w:eastAsia="宋体" w:hAnsi="宋体"/>
              </w:rPr>
            </w:pPr>
            <w:r>
              <w:rPr>
                <w:szCs w:val="21"/>
                <w:rFonts w:ascii="宋体" w:hAnsi="宋体"/>
              </w:rPr>
              <w:t xml:space="preserve">If the indicator light is green, refer to Step3;</w:t>
            </w:r>
          </w:p>
        </w:tc>
        <w:tc>
          <w:tcPr>
            <w:tcW w:w="3402" w:type="dxa"/>
          </w:tcPr>
          <w:p w14:paraId="02E27AA6" w14:textId="598D66B8" w:rsidR="00A14ECC" w:rsidRPr="00D3378E" w:rsidRDefault="00296683" w:rsidP="00745B7F">
            <w:pPr>
              <w:pStyle w:val="a8"/>
              <w:spacing w:line="360" w:lineRule="auto"/>
              <w:ind w:firstLineChars="0" w:firstLine="0"/>
              <w:jc w:val="center"/>
              <w:rPr>
                <w:szCs w:val="21"/>
                <w:rFonts w:ascii="宋体" w:eastAsia="宋体" w:hAnsi="宋体"/>
              </w:rPr>
            </w:pPr>
            <w:r>
              <w:drawing>
                <wp:inline distT="0" distB="0" distL="0" distR="0" wp14:anchorId="20AA8F37" wp14:editId="64B86433">
                  <wp:extent cx="1375833" cy="2283434"/>
                  <wp:effectExtent l="0" t="0" r="0" b="3175"/>
                  <wp:docPr id="16461851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85146" name=""/>
                          <pic:cNvPicPr/>
                        </pic:nvPicPr>
                        <pic:blipFill>
                          <a:blip r:embed="rId7"/>
                          <a:stretch>
                            <a:fillRect/>
                          </a:stretch>
                        </pic:blipFill>
                        <pic:spPr>
                          <a:xfrm>
                            <a:off x="0" y="0"/>
                            <a:ext cx="1435531" cy="2382514"/>
                          </a:xfrm>
                          <a:prstGeom prst="rect">
                            <a:avLst/>
                          </a:prstGeom>
                        </pic:spPr>
                      </pic:pic>
                    </a:graphicData>
                  </a:graphic>
                </wp:inline>
              </w:drawing>
            </w:r>
          </w:p>
        </w:tc>
      </w:tr>
      <w:tr w:rsidR="00296683" w14:paraId="16573A84" w14:textId="77777777" w:rsidTr="00745B7F">
        <w:tc>
          <w:tcPr>
            <w:tcW w:w="1085" w:type="dxa"/>
          </w:tcPr>
          <w:p w14:paraId="08678844" w14:textId="7FB0E325" w:rsidR="00A14ECC" w:rsidRPr="00E768BB" w:rsidRDefault="00E768BB">
            <w:pPr>
              <w:pStyle w:val="a8"/>
              <w:spacing w:line="360" w:lineRule="auto"/>
              <w:ind w:firstLineChars="0" w:firstLine="0"/>
              <w:rPr>
                <w:szCs w:val="21"/>
                <w:rFonts w:ascii="宋体" w:eastAsia="宋体" w:hAnsi="宋体"/>
              </w:rPr>
            </w:pPr>
            <w:r>
              <w:rPr>
                <w:szCs w:val="21"/>
                <w:rFonts w:ascii="宋体" w:hAnsi="宋体"/>
              </w:rPr>
              <w:t xml:space="preserve">Step2</w:t>
            </w:r>
          </w:p>
        </w:tc>
        <w:tc>
          <w:tcPr>
            <w:tcW w:w="4586" w:type="dxa"/>
          </w:tcPr>
          <w:p w14:paraId="39916ACC" w14:textId="474281C1" w:rsidR="00C94C98" w:rsidRDefault="00340EED" w:rsidP="00340EED">
            <w:pPr>
              <w:pStyle w:val="a8"/>
              <w:spacing w:line="360" w:lineRule="auto"/>
              <w:rPr>
                <w:szCs w:val="21"/>
                <w:rFonts w:ascii="宋体" w:eastAsia="宋体" w:hAnsi="宋体"/>
              </w:rPr>
            </w:pPr>
            <w:r>
              <w:rPr>
                <w:szCs w:val="21"/>
                <w:rFonts w:ascii="宋体" w:hAnsi="宋体"/>
              </w:rPr>
              <w:t xml:space="preserve">Re-plug and unplug the communication line of the corresponding port on the switch. If it can be lit, refer to Step3;</w:t>
            </w:r>
          </w:p>
          <w:p w14:paraId="06E358D8" w14:textId="7707C835" w:rsidR="00A14ECC" w:rsidRPr="00E768BB" w:rsidRDefault="00340EED" w:rsidP="00340EED">
            <w:pPr>
              <w:pStyle w:val="a8"/>
              <w:spacing w:line="360" w:lineRule="auto"/>
              <w:rPr>
                <w:szCs w:val="21"/>
                <w:rFonts w:ascii="宋体" w:eastAsia="宋体" w:hAnsi="宋体"/>
              </w:rPr>
            </w:pPr>
            <w:r>
              <w:rPr>
                <w:szCs w:val="21"/>
                <w:rFonts w:ascii="宋体" w:hAnsi="宋体"/>
              </w:rPr>
              <w:t xml:space="preserve">If the indicator lamp is still not on, refer to</w:t>
            </w:r>
            <w:bookmarkStart w:id="0" w:name="OLE_LINK1"/>
            <w:r>
              <w:rPr>
                <w:szCs w:val="21"/>
                <w:rFonts w:ascii="宋体" w:hAnsi="宋体"/>
              </w:rPr>
              <w:t xml:space="preserve">Step4</w:t>
            </w:r>
            <w:bookmarkEnd w:id="0"/>
            <w:r>
              <w:rPr>
                <w:szCs w:val="21"/>
                <w:rFonts w:ascii="宋体" w:hAnsi="宋体"/>
              </w:rPr>
              <w:t xml:space="preserve">；</w:t>
            </w:r>
          </w:p>
        </w:tc>
        <w:tc>
          <w:tcPr>
            <w:tcW w:w="3402" w:type="dxa"/>
          </w:tcPr>
          <w:p w14:paraId="5AD41C87" w14:textId="77777777" w:rsidR="00340EED" w:rsidRDefault="00340EED">
            <w:pPr>
              <w:pStyle w:val="a8"/>
              <w:spacing w:line="360" w:lineRule="auto"/>
              <w:ind w:firstLineChars="0" w:firstLine="0"/>
              <w:rPr>
                <w:rFonts w:ascii="宋体" w:eastAsia="宋体" w:hAnsi="宋体"/>
                <w:szCs w:val="21"/>
              </w:rPr>
            </w:pPr>
          </w:p>
        </w:tc>
      </w:tr>
      <w:tr w:rsidR="00296683" w14:paraId="4FD72C1D" w14:textId="77777777" w:rsidTr="00745B7F">
        <w:tc>
          <w:tcPr>
            <w:tcW w:w="1085" w:type="dxa"/>
          </w:tcPr>
          <w:p w14:paraId="305462F4" w14:textId="582C2CC4" w:rsidR="00340EED" w:rsidRPr="00C94C98" w:rsidRDefault="00C94C98">
            <w:pPr>
              <w:pStyle w:val="a8"/>
              <w:spacing w:line="360" w:lineRule="auto"/>
              <w:ind w:firstLineChars="0" w:firstLine="0"/>
              <w:rPr>
                <w:szCs w:val="21"/>
                <w:rFonts w:ascii="宋体" w:eastAsia="宋体" w:hAnsi="宋体"/>
              </w:rPr>
            </w:pPr>
            <w:r>
              <w:rPr>
                <w:szCs w:val="21"/>
                <w:rFonts w:ascii="宋体" w:hAnsi="宋体"/>
              </w:rPr>
              <w:t xml:space="preserve">Step3</w:t>
            </w:r>
          </w:p>
        </w:tc>
        <w:tc>
          <w:tcPr>
            <w:tcW w:w="4586" w:type="dxa"/>
          </w:tcPr>
          <w:p w14:paraId="34B38103" w14:textId="77777777" w:rsidR="00745B7F" w:rsidRDefault="00340EED" w:rsidP="00340EED">
            <w:pPr>
              <w:pStyle w:val="a8"/>
              <w:spacing w:line="360" w:lineRule="auto"/>
              <w:rPr>
                <w:szCs w:val="21"/>
                <w:rFonts w:ascii="宋体" w:eastAsia="宋体" w:hAnsi="宋体"/>
              </w:rPr>
            </w:pPr>
            <w:r>
              <w:rPr>
                <w:szCs w:val="21"/>
                <w:rFonts w:ascii="宋体" w:hAnsi="宋体"/>
              </w:rPr>
              <w:t xml:space="preserve">inspect</w:t>
            </w:r>
            <w:bookmarkStart w:id="1" w:name="OLE_LINK2"/>
            <w:r>
              <w:rPr>
                <w:szCs w:val="21"/>
                <w:rFonts w:ascii="宋体" w:hAnsi="宋体"/>
              </w:rPr>
              <w:t xml:space="preserve">Is the "SYS" indicator on the PCS always on red, "POWER"</w:t>
            </w:r>
            <w:bookmarkEnd w:id="1"/>
            <w:r>
              <w:rPr>
                <w:szCs w:val="21"/>
                <w:rFonts w:ascii="宋体" w:hAnsi="宋体"/>
              </w:rPr>
              <w:t xml:space="preserve">Whether the indicator light is always green.</w:t>
            </w:r>
          </w:p>
          <w:p w14:paraId="47BE4DE0" w14:textId="24CBACDE" w:rsidR="00340EED" w:rsidRDefault="00C94C98" w:rsidP="00340EED">
            <w:pPr>
              <w:pStyle w:val="a8"/>
              <w:spacing w:line="360" w:lineRule="auto"/>
              <w:rPr>
                <w:szCs w:val="21"/>
                <w:rFonts w:ascii="宋体" w:eastAsia="宋体" w:hAnsi="宋体"/>
              </w:rPr>
            </w:pPr>
            <w:r>
              <w:rPr>
                <w:szCs w:val="21"/>
                <w:rFonts w:ascii="宋体" w:hAnsi="宋体"/>
              </w:rPr>
              <w:t xml:space="preserve">If not, refer to Step4;</w:t>
            </w:r>
          </w:p>
          <w:p w14:paraId="3064FB1D" w14:textId="0EA57F32" w:rsidR="00C94C98" w:rsidRPr="00C94C98" w:rsidRDefault="00C94C98" w:rsidP="00C94C98">
            <w:pPr>
              <w:pStyle w:val="a8"/>
              <w:spacing w:line="360" w:lineRule="auto"/>
              <w:rPr>
                <w:szCs w:val="21"/>
                <w:rFonts w:ascii="宋体" w:eastAsia="宋体" w:hAnsi="宋体"/>
              </w:rPr>
            </w:pPr>
            <w:r>
              <w:rPr>
                <w:szCs w:val="21"/>
                <w:rFonts w:ascii="宋体" w:hAnsi="宋体"/>
              </w:rPr>
              <w:t xml:space="preserve">If so, refer to Step 5;</w:t>
            </w:r>
          </w:p>
        </w:tc>
        <w:tc>
          <w:tcPr>
            <w:tcW w:w="3402" w:type="dxa"/>
          </w:tcPr>
          <w:p w14:paraId="2D026486" w14:textId="1016EBAC" w:rsidR="00340EED" w:rsidRDefault="00296683" w:rsidP="00745B7F">
            <w:pPr>
              <w:pStyle w:val="a8"/>
              <w:spacing w:line="360" w:lineRule="auto"/>
              <w:ind w:firstLineChars="0" w:firstLine="0"/>
              <w:jc w:val="center"/>
              <w:rPr>
                <w:szCs w:val="21"/>
                <w:rFonts w:ascii="宋体" w:eastAsia="宋体" w:hAnsi="宋体"/>
              </w:rPr>
            </w:pPr>
            <w:r>
              <w:drawing>
                <wp:inline distT="0" distB="0" distL="0" distR="0" wp14:anchorId="5A5BD80F" wp14:editId="77A4CE6B">
                  <wp:extent cx="2063044" cy="935567"/>
                  <wp:effectExtent l="0" t="0" r="0" b="0"/>
                  <wp:docPr id="16217200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20094" name=""/>
                          <pic:cNvPicPr/>
                        </pic:nvPicPr>
                        <pic:blipFill>
                          <a:blip r:embed="rId8"/>
                          <a:stretch>
                            <a:fillRect/>
                          </a:stretch>
                        </pic:blipFill>
                        <pic:spPr>
                          <a:xfrm>
                            <a:off x="0" y="0"/>
                            <a:ext cx="2096778" cy="950865"/>
                          </a:xfrm>
                          <a:prstGeom prst="rect">
                            <a:avLst/>
                          </a:prstGeom>
                        </pic:spPr>
                      </pic:pic>
                    </a:graphicData>
                  </a:graphic>
                </wp:inline>
              </w:drawing>
            </w:r>
          </w:p>
        </w:tc>
      </w:tr>
      <w:tr w:rsidR="00296683" w14:paraId="7D0A8C76" w14:textId="77777777" w:rsidTr="00745B7F">
        <w:tc>
          <w:tcPr>
            <w:tcW w:w="1085" w:type="dxa"/>
          </w:tcPr>
          <w:p w14:paraId="48E5A573" w14:textId="78E6E4FD" w:rsidR="00C94C98" w:rsidRDefault="00C94C98">
            <w:pPr>
              <w:pStyle w:val="a8"/>
              <w:spacing w:line="360" w:lineRule="auto"/>
              <w:ind w:firstLineChars="0" w:firstLine="0"/>
              <w:rPr>
                <w:szCs w:val="21"/>
                <w:rFonts w:ascii="宋体" w:eastAsia="宋体" w:hAnsi="宋体"/>
              </w:rPr>
            </w:pPr>
            <w:r>
              <w:rPr>
                <w:szCs w:val="21"/>
                <w:rFonts w:ascii="宋体" w:hAnsi="宋体"/>
              </w:rPr>
              <w:t xml:space="preserve">Step4</w:t>
            </w:r>
          </w:p>
        </w:tc>
        <w:tc>
          <w:tcPr>
            <w:tcW w:w="4586" w:type="dxa"/>
          </w:tcPr>
          <w:p w14:paraId="15C0912B" w14:textId="77777777" w:rsidR="00745B7F" w:rsidRDefault="00C94C98" w:rsidP="00340EED">
            <w:pPr>
              <w:pStyle w:val="a8"/>
              <w:spacing w:line="360" w:lineRule="auto"/>
              <w:rPr>
                <w:szCs w:val="21"/>
                <w:rFonts w:ascii="宋体" w:eastAsia="宋体" w:hAnsi="宋体"/>
              </w:rPr>
            </w:pPr>
            <w:r>
              <w:rPr>
                <w:szCs w:val="21"/>
                <w:rFonts w:ascii="宋体" w:hAnsi="宋体"/>
              </w:rPr>
              <w:t xml:space="preserve">Replace the communication line between the switch and the PCS.</w:t>
            </w:r>
          </w:p>
          <w:p w14:paraId="52E7FBA6" w14:textId="25F727DA" w:rsidR="00C94C98" w:rsidRDefault="00C94C98" w:rsidP="00340EED">
            <w:pPr>
              <w:pStyle w:val="a8"/>
              <w:spacing w:line="360" w:lineRule="auto"/>
              <w:rPr>
                <w:szCs w:val="21"/>
                <w:rFonts w:ascii="宋体" w:eastAsia="宋体" w:hAnsi="宋体"/>
              </w:rPr>
            </w:pPr>
            <w:r>
              <w:rPr>
                <w:szCs w:val="21"/>
                <w:rFonts w:ascii="宋体" w:hAnsi="宋体"/>
              </w:rPr>
              <w:t xml:space="preserve">If it returns to always on, refer to Step 5;</w:t>
            </w:r>
          </w:p>
          <w:p w14:paraId="2D090F29" w14:textId="5D55406B" w:rsidR="00C94C98" w:rsidRPr="00C94C98" w:rsidRDefault="00C94C98" w:rsidP="00C94C98">
            <w:pPr>
              <w:pStyle w:val="a8"/>
              <w:spacing w:line="360" w:lineRule="auto"/>
              <w:rPr>
                <w:szCs w:val="21"/>
                <w:rFonts w:ascii="宋体" w:eastAsia="宋体" w:hAnsi="宋体"/>
              </w:rPr>
            </w:pPr>
            <w:r>
              <w:rPr>
                <w:szCs w:val="21"/>
                <w:rFonts w:ascii="宋体" w:hAnsi="宋体"/>
              </w:rPr>
              <w:t xml:space="preserve">If it is still not always on, please contact the local after-sales service team to handle it.</w:t>
            </w:r>
          </w:p>
        </w:tc>
        <w:tc>
          <w:tcPr>
            <w:tcW w:w="3402" w:type="dxa"/>
          </w:tcPr>
          <w:p w14:paraId="4F975E54" w14:textId="77777777" w:rsidR="00C94C98" w:rsidRDefault="00C94C98">
            <w:pPr>
              <w:pStyle w:val="a8"/>
              <w:spacing w:line="360" w:lineRule="auto"/>
              <w:ind w:firstLineChars="0" w:firstLine="0"/>
              <w:rPr>
                <w:rFonts w:ascii="宋体" w:eastAsia="宋体" w:hAnsi="宋体"/>
                <w:szCs w:val="21"/>
              </w:rPr>
            </w:pPr>
          </w:p>
        </w:tc>
      </w:tr>
      <w:tr w:rsidR="00296683" w14:paraId="040A53FC" w14:textId="77777777" w:rsidTr="00745B7F">
        <w:tc>
          <w:tcPr>
            <w:tcW w:w="1085" w:type="dxa"/>
          </w:tcPr>
          <w:p w14:paraId="6AF57336" w14:textId="1351C8C1" w:rsidR="00C94C98" w:rsidRDefault="00C94C98">
            <w:pPr>
              <w:pStyle w:val="a8"/>
              <w:spacing w:line="360" w:lineRule="auto"/>
              <w:ind w:firstLineChars="0" w:firstLine="0"/>
              <w:rPr>
                <w:szCs w:val="21"/>
                <w:rFonts w:ascii="宋体" w:eastAsia="宋体" w:hAnsi="宋体"/>
              </w:rPr>
            </w:pPr>
            <w:r>
              <w:rPr>
                <w:szCs w:val="21"/>
                <w:rFonts w:ascii="宋体" w:hAnsi="宋体"/>
              </w:rPr>
              <w:t xml:space="preserve">Step5</w:t>
            </w:r>
          </w:p>
        </w:tc>
        <w:tc>
          <w:tcPr>
            <w:tcW w:w="4586" w:type="dxa"/>
          </w:tcPr>
          <w:p w14:paraId="2B3D29E5" w14:textId="77777777" w:rsidR="00745B7F" w:rsidRDefault="00C94C98" w:rsidP="00C94C98">
            <w:pPr>
              <w:pStyle w:val="a8"/>
              <w:spacing w:line="360" w:lineRule="auto"/>
              <w:rPr>
                <w:szCs w:val="21"/>
                <w:rFonts w:ascii="宋体" w:eastAsia="宋体" w:hAnsi="宋体"/>
              </w:rPr>
            </w:pPr>
            <w:r>
              <w:rPr>
                <w:szCs w:val="21"/>
                <w:rFonts w:ascii="宋体" w:hAnsi="宋体"/>
              </w:rPr>
              <w:t xml:space="preserve">Turn off all blanks on the PCS, wait for the "SYS" indicator and "Power" indicator on the PCS to go off, turn on all blanks on the PCS, and check the monitoring platform after five minutes.</w:t>
            </w:r>
          </w:p>
          <w:p w14:paraId="6551DBBF" w14:textId="1927B4CC" w:rsidR="00C94C98" w:rsidRDefault="00C94C98" w:rsidP="00C94C98">
            <w:pPr>
              <w:pStyle w:val="a8"/>
              <w:spacing w:line="360" w:lineRule="auto"/>
              <w:rPr>
                <w:szCs w:val="21"/>
                <w:rFonts w:ascii="宋体" w:eastAsia="宋体" w:hAnsi="宋体"/>
              </w:rPr>
            </w:pPr>
            <w:r>
              <w:rPr>
                <w:szCs w:val="21"/>
                <w:rFonts w:ascii="宋体" w:hAnsi="宋体"/>
              </w:rPr>
              <w:t xml:space="preserve">If the monitoring platform still displays offline, please contact the local after-sales service team.</w:t>
            </w:r>
          </w:p>
        </w:tc>
        <w:tc>
          <w:tcPr>
            <w:tcW w:w="3402" w:type="dxa"/>
          </w:tcPr>
          <w:p w14:paraId="1068156B" w14:textId="51D6DBBC" w:rsidR="00C94C98" w:rsidRDefault="00296683" w:rsidP="00745B7F">
            <w:pPr>
              <w:pStyle w:val="a8"/>
              <w:spacing w:line="360" w:lineRule="auto"/>
              <w:ind w:firstLineChars="0" w:firstLine="0"/>
              <w:jc w:val="center"/>
              <w:rPr>
                <w:szCs w:val="21"/>
                <w:rFonts w:ascii="宋体" w:eastAsia="宋体" w:hAnsi="宋体"/>
              </w:rPr>
            </w:pPr>
            <w:r>
              <w:drawing>
                <wp:inline distT="0" distB="0" distL="0" distR="0" wp14:anchorId="3AB89091" wp14:editId="26B457B4">
                  <wp:extent cx="2073600" cy="914400"/>
                  <wp:effectExtent l="0" t="0" r="3175" b="0"/>
                  <wp:docPr id="1072568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68871" name=""/>
                          <pic:cNvPicPr/>
                        </pic:nvPicPr>
                        <pic:blipFill rotWithShape="1">
                          <a:blip r:embed="rId9"/>
                          <a:srcRect l="3307"/>
                          <a:stretch/>
                        </pic:blipFill>
                        <pic:spPr bwMode="auto">
                          <a:xfrm>
                            <a:off x="0" y="0"/>
                            <a:ext cx="2132398" cy="940328"/>
                          </a:xfrm>
                          <a:prstGeom prst="rect">
                            <a:avLst/>
                          </a:prstGeom>
                          <a:ln>
                            <a:noFill/>
                          </a:ln>
                          <a:extLst>
                            <a:ext uri="{53640926-AAD7-44D8-BBD7-CCE9431645EC}">
                              <a14:shadowObscured xmlns:a14="http://schemas.microsoft.com/office/drawing/2010/main"/>
                            </a:ext>
                          </a:extLst>
                        </pic:spPr>
                      </pic:pic>
                    </a:graphicData>
                  </a:graphic>
                </wp:inline>
              </w:drawing>
            </w:r>
          </w:p>
        </w:tc>
      </w:tr>
    </w:tbl>
    <w:p w14:paraId="4EB78C1A" w14:textId="77777777" w:rsidR="00A14ECC" w:rsidRDefault="00A14ECC">
      <w:pPr>
        <w:rPr>
          <w:rFonts w:ascii="宋体" w:eastAsia="宋体" w:hAnsi="宋体"/>
          <w:sz w:val="28"/>
          <w:szCs w:val="28"/>
        </w:rPr>
      </w:pPr>
    </w:p>
    <w:p w14:paraId="7286A1F3" w14:textId="77777777" w:rsidR="00A14ECC" w:rsidRDefault="00A14ECC">
      <w:pPr>
        <w:rPr>
          <w:rFonts w:ascii="宋体" w:eastAsia="宋体" w:hAnsi="宋体"/>
          <w:sz w:val="28"/>
          <w:szCs w:val="28"/>
        </w:rPr>
      </w:pPr>
    </w:p>
    <w:p w14:paraId="31FFE5AF" w14:textId="77777777" w:rsidR="00A14ECC" w:rsidRDefault="00A14ECC">
      <w:pPr>
        <w:rPr>
          <w:rFonts w:ascii="宋体" w:eastAsia="宋体" w:hAnsi="宋体"/>
          <w:sz w:val="28"/>
          <w:szCs w:val="28"/>
        </w:rPr>
      </w:pPr>
    </w:p>
    <w:p w14:paraId="411B2E89" w14:textId="77777777" w:rsidR="00A14ECC" w:rsidRDefault="00A14ECC">
      <w:pPr>
        <w:rPr>
          <w:rFonts w:ascii="宋体" w:eastAsia="宋体" w:hAnsi="宋体"/>
          <w:sz w:val="28"/>
          <w:szCs w:val="28"/>
        </w:rPr>
      </w:pPr>
    </w:p>
    <w:p w14:paraId="4AD50DF1" w14:textId="77777777" w:rsidR="00A14ECC" w:rsidRDefault="00A14ECC">
      <w:pPr>
        <w:rPr>
          <w:rFonts w:ascii="宋体" w:eastAsia="宋体" w:hAnsi="宋体"/>
          <w:sz w:val="28"/>
          <w:szCs w:val="28"/>
        </w:rPr>
      </w:pPr>
    </w:p>
    <w:p w14:paraId="6A84BE06" w14:textId="77777777" w:rsidR="00A14ECC" w:rsidRDefault="00A14ECC">
      <w:pPr>
        <w:rPr>
          <w:rFonts w:ascii="宋体" w:eastAsia="宋体" w:hAnsi="宋体"/>
          <w:sz w:val="28"/>
          <w:szCs w:val="28"/>
        </w:rPr>
      </w:pPr>
    </w:p>
    <w:p w14:paraId="017AE678" w14:textId="77777777" w:rsidR="00A14ECC" w:rsidRDefault="00A14ECC">
      <w:pPr>
        <w:rPr>
          <w:rFonts w:ascii="宋体" w:eastAsia="宋体" w:hAnsi="宋体"/>
          <w:sz w:val="28"/>
          <w:szCs w:val="28"/>
        </w:rPr>
      </w:pPr>
    </w:p>
    <w:p w14:paraId="62E8277D" w14:textId="77777777" w:rsidR="00A14ECC" w:rsidRDefault="00A14ECC">
      <w:pPr>
        <w:rPr>
          <w:rFonts w:ascii="宋体" w:eastAsia="宋体" w:hAnsi="宋体"/>
          <w:sz w:val="28"/>
          <w:szCs w:val="28"/>
        </w:rPr>
      </w:pPr>
    </w:p>
    <w:p w14:paraId="7F3FD274" w14:textId="77777777" w:rsidR="00A14ECC" w:rsidRDefault="00A14ECC">
      <w:pPr>
        <w:rPr>
          <w:rFonts w:ascii="宋体" w:eastAsia="宋体" w:hAnsi="宋体"/>
          <w:sz w:val="24"/>
          <w:szCs w:val="24"/>
        </w:rPr>
      </w:pPr>
    </w:p>
    <w:p w14:paraId="14953D2A" w14:textId="77777777" w:rsidR="00A14ECC" w:rsidRDefault="00A14ECC">
      <w:pPr>
        <w:rPr>
          <w:rFonts w:ascii="宋体" w:eastAsia="宋体" w:hAnsi="宋体"/>
          <w:sz w:val="24"/>
          <w:szCs w:val="24"/>
        </w:rPr>
      </w:pPr>
    </w:p>
    <w:p w14:paraId="7605F9CF" w14:textId="77777777" w:rsidR="00A14ECC" w:rsidRDefault="00A14ECC">
      <w:pPr>
        <w:ind w:firstLine="420"/>
        <w:rPr>
          <w:rFonts w:ascii="宋体" w:eastAsia="宋体" w:hAnsi="宋体"/>
          <w:sz w:val="28"/>
          <w:szCs w:val="28"/>
        </w:rPr>
      </w:pPr>
    </w:p>
    <w:sectPr w:rsidR="00A14E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9F56" w14:textId="77777777" w:rsidR="00F119F1" w:rsidRDefault="00F119F1" w:rsidP="00745B7F">
      <w:r>
        <w:separator/>
      </w:r>
    </w:p>
  </w:endnote>
  <w:endnote w:type="continuationSeparator" w:id="0">
    <w:p w14:paraId="23EFAE2F" w14:textId="77777777" w:rsidR="00F119F1" w:rsidRDefault="00F119F1" w:rsidP="0074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A667" w14:textId="77777777" w:rsidR="00F119F1" w:rsidRDefault="00F119F1" w:rsidP="00745B7F">
      <w:r>
        <w:separator/>
      </w:r>
    </w:p>
  </w:footnote>
  <w:footnote w:type="continuationSeparator" w:id="0">
    <w:p w14:paraId="0AC4315B" w14:textId="77777777" w:rsidR="00F119F1" w:rsidRDefault="00F119F1" w:rsidP="0074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057050"/>
    <w:multiLevelType w:val="hybridMultilevel"/>
    <w:tmpl w:val="0AD602C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2C365F2D"/>
    <w:multiLevelType w:val="hybridMultilevel"/>
    <w:tmpl w:val="25686D94"/>
    <w:lvl w:ilvl="0" w:tplc="04090001">
      <w:start w:val="1"/>
      <w:numFmt w:val="bullet"/>
      <w:lvlText w:val=""/>
      <w:lvlJc w:val="left"/>
      <w:pPr>
        <w:ind w:left="902" w:hanging="440"/>
      </w:pPr>
      <w:rPr>
        <w:rFonts w:ascii="Wingdings" w:hAnsi="Wingdings" w:hint="default"/>
      </w:rPr>
    </w:lvl>
    <w:lvl w:ilvl="1" w:tplc="04090003" w:tentative="1">
      <w:start w:val="1"/>
      <w:numFmt w:val="bullet"/>
      <w:lvlText w:val=""/>
      <w:lvlJc w:val="left"/>
      <w:pPr>
        <w:ind w:left="1342" w:hanging="440"/>
      </w:pPr>
      <w:rPr>
        <w:rFonts w:ascii="Wingdings" w:hAnsi="Wingdings" w:hint="default"/>
      </w:rPr>
    </w:lvl>
    <w:lvl w:ilvl="2" w:tplc="04090005"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3" w:tentative="1">
      <w:start w:val="1"/>
      <w:numFmt w:val="bullet"/>
      <w:lvlText w:val=""/>
      <w:lvlJc w:val="left"/>
      <w:pPr>
        <w:ind w:left="2662" w:hanging="440"/>
      </w:pPr>
      <w:rPr>
        <w:rFonts w:ascii="Wingdings" w:hAnsi="Wingdings" w:hint="default"/>
      </w:rPr>
    </w:lvl>
    <w:lvl w:ilvl="5" w:tplc="04090005"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3" w:tentative="1">
      <w:start w:val="1"/>
      <w:numFmt w:val="bullet"/>
      <w:lvlText w:val=""/>
      <w:lvlJc w:val="left"/>
      <w:pPr>
        <w:ind w:left="3982" w:hanging="440"/>
      </w:pPr>
      <w:rPr>
        <w:rFonts w:ascii="Wingdings" w:hAnsi="Wingdings" w:hint="default"/>
      </w:rPr>
    </w:lvl>
    <w:lvl w:ilvl="8" w:tplc="04090005" w:tentative="1">
      <w:start w:val="1"/>
      <w:numFmt w:val="bullet"/>
      <w:lvlText w:val=""/>
      <w:lvlJc w:val="left"/>
      <w:pPr>
        <w:ind w:left="4422" w:hanging="440"/>
      </w:pPr>
      <w:rPr>
        <w:rFonts w:ascii="Wingdings" w:hAnsi="Wingdings" w:hint="default"/>
      </w:rPr>
    </w:lvl>
  </w:abstractNum>
  <w:abstractNum w:abstractNumId="4"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A44C4F"/>
    <w:multiLevelType w:val="hybridMultilevel"/>
    <w:tmpl w:val="7062E078"/>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 w15:restartNumberingAfterBreak="0">
    <w:nsid w:val="5F8C4051"/>
    <w:multiLevelType w:val="hybridMultilevel"/>
    <w:tmpl w:val="D6505B54"/>
    <w:lvl w:ilvl="0" w:tplc="6CE861F2">
      <w:start w:val="1"/>
      <w:numFmt w:val="decimal"/>
      <w:lvlText w:val="%1、"/>
      <w:lvlJc w:val="left"/>
      <w:pPr>
        <w:ind w:left="720" w:hanging="360"/>
      </w:pPr>
      <w:rPr>
        <w:rFonts w:hint="default"/>
        <w:b/>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4"/>
  </w:num>
  <w:num w:numId="4">
    <w:abstractNumId w:val="8"/>
  </w:num>
  <w:num w:numId="5">
    <w:abstractNumId w:val="0"/>
  </w:num>
  <w:num w:numId="6">
    <w:abstractNumId w:val="9"/>
  </w:num>
  <w:num w:numId="7">
    <w:abstractNumId w:val="2"/>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296683"/>
    <w:rsid w:val="002B3A09"/>
    <w:rsid w:val="00340EED"/>
    <w:rsid w:val="00355E00"/>
    <w:rsid w:val="00403133"/>
    <w:rsid w:val="004450AB"/>
    <w:rsid w:val="00491250"/>
    <w:rsid w:val="005069C0"/>
    <w:rsid w:val="0059178D"/>
    <w:rsid w:val="005A543D"/>
    <w:rsid w:val="00616DAC"/>
    <w:rsid w:val="00671F5A"/>
    <w:rsid w:val="006741F3"/>
    <w:rsid w:val="00681127"/>
    <w:rsid w:val="00745B7F"/>
    <w:rsid w:val="00767EF4"/>
    <w:rsid w:val="00833195"/>
    <w:rsid w:val="008A013A"/>
    <w:rsid w:val="008C4DFD"/>
    <w:rsid w:val="00A14ECC"/>
    <w:rsid w:val="00A46611"/>
    <w:rsid w:val="00AE50D7"/>
    <w:rsid w:val="00B35014"/>
    <w:rsid w:val="00B351CB"/>
    <w:rsid w:val="00BD446C"/>
    <w:rsid w:val="00C545E4"/>
    <w:rsid w:val="00C90E89"/>
    <w:rsid w:val="00C94C98"/>
    <w:rsid w:val="00D00821"/>
    <w:rsid w:val="00D27426"/>
    <w:rsid w:val="00D3378E"/>
    <w:rsid w:val="00E67D35"/>
    <w:rsid w:val="00E768BB"/>
    <w:rsid w:val="00ED4780"/>
    <w:rsid w:val="00F119F1"/>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7C777"/>
  <w15:docId w15:val="{1627F25C-DF41-4544-A629-099E5D20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4</cp:revision>
  <dcterms:created xsi:type="dcterms:W3CDTF">2026-04-01T09:09:00Z</dcterms:created>
  <dcterms:modified xsi:type="dcterms:W3CDTF">2026-04-08T01:13:00Z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