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611311" w:rsidR="005377C4" w:rsidP="005377C4" w:rsidRDefault="005377C4" w14:paraId="78B46AF0" w14:textId="4E39FBE4">
      <w:pPr>
        <w:jc w:val="center"/>
        <w:rPr>
          <w:b/>
          <w:bCs/>
          <w:sz w:val="44"/>
          <w:szCs w:val="44"/>
          <w:rFonts w:ascii="宋体" w:hAnsi="宋体" w:eastAsia="宋体"/>
        </w:rPr>
      </w:pPr>
      <w:r>
        <w:rPr>
          <w:b/>
          <w:bCs/>
          <w:sz w:val="44"/>
          <w:szCs w:val="44"/>
          <w:rFonts w:ascii="宋体" w:hAnsi="宋体"/>
        </w:rPr>
        <w:t xml:space="preserve">PCS Overvoltage SOP</w:t>
      </w:r>
    </w:p>
    <w:p w:rsidRPr="00611311" w:rsidR="005377C4" w:rsidP="005377C4" w:rsidRDefault="005377C4" w14:paraId="3C776BFA" w14:textId="77777777">
      <w:pPr>
        <w:jc w:val="center"/>
        <w:rPr>
          <w:rFonts w:ascii="宋体" w:hAnsi="宋体" w:eastAsia="宋体"/>
          <w:sz w:val="36"/>
          <w:szCs w:val="36"/>
        </w:rPr>
      </w:pPr>
    </w:p>
    <w:p w:rsidRPr="00611311" w:rsidR="005377C4" w:rsidP="005377C4" w:rsidRDefault="005377C4" w14:paraId="4C763A26" w14:textId="486CB1EF">
      <w:pPr>
        <w:pStyle w:val="a8"/>
        <w:numPr>
          <w:ilvl w:val="0"/>
          <w:numId w:val="1"/>
        </w:numPr>
        <w:spacing w:line="360" w:lineRule="auto"/>
        <w:ind w:firstLineChars="0"/>
        <w:rPr>
          <w:szCs w:val="21"/>
          <w:rFonts w:ascii="宋体" w:hAnsi="宋体" w:eastAsia="宋体"/>
        </w:rPr>
      </w:pPr>
      <w:r>
        <w:rPr>
          <w:szCs w:val="21"/>
          <w:b/>
          <w:bCs/>
          <w:rFonts w:ascii="宋体" w:hAnsi="宋体"/>
        </w:rPr>
        <w:t xml:space="preserve">Fault Name:</w:t>
      </w:r>
      <w:r>
        <w:rPr>
          <w:szCs w:val="21"/>
          <w:rFonts w:ascii="宋体" w:hAnsi="宋体"/>
        </w:rPr>
        <w:t xml:space="preserve">Grid overvoltage</w:t>
      </w:r>
    </w:p>
    <w:p w:rsidRPr="00611311" w:rsidR="005377C4" w:rsidP="005377C4" w:rsidRDefault="005377C4" w14:paraId="6EA1A5F5" w14:textId="5D095298">
      <w:pPr>
        <w:pStyle w:val="a8"/>
        <w:numPr>
          <w:ilvl w:val="0"/>
          <w:numId w:val="1"/>
        </w:numPr>
        <w:spacing w:line="360" w:lineRule="auto"/>
        <w:ind w:firstLineChars="0"/>
        <w:rPr>
          <w:szCs w:val="21"/>
          <w:rFonts w:ascii="宋体" w:hAnsi="宋体" w:eastAsia="宋体"/>
        </w:rPr>
      </w:pPr>
      <w:r>
        <w:rPr>
          <w:b/>
          <w:bCs/>
          <w:szCs w:val="21"/>
          <w:rFonts w:ascii="宋体" w:hAnsi="宋体"/>
        </w:rPr>
        <w:t xml:space="preserve">Fault code:</w:t>
      </w:r>
      <w:r>
        <w:rPr>
          <w:rFonts w:ascii="宋体" w:hAnsi="宋体"/>
        </w:rPr>
        <w:t xml:space="preserve">1, 2, 13, 14</w:t>
      </w:r>
    </w:p>
    <w:p w:rsidRPr="00611311" w:rsidR="005377C4" w:rsidP="005377C4" w:rsidRDefault="005377C4" w14:paraId="4A68A642" w14:textId="49B2733A">
      <w:pPr>
        <w:pStyle w:val="a8"/>
        <w:numPr>
          <w:ilvl w:val="0"/>
          <w:numId w:val="1"/>
        </w:numPr>
        <w:spacing w:line="360" w:lineRule="auto"/>
        <w:ind w:firstLineChars="0"/>
        <w:rPr>
          <w:szCs w:val="21"/>
          <w:rFonts w:ascii="宋体" w:hAnsi="宋体" w:eastAsia="宋体"/>
        </w:rPr>
      </w:pPr>
      <w:r>
        <w:rPr>
          <w:szCs w:val="21"/>
          <w:b/>
          <w:bCs/>
          <w:rFonts w:ascii="宋体" w:hAnsi="宋体"/>
        </w:rPr>
        <w:t xml:space="preserve">Fault phenomenon:</w:t>
      </w:r>
      <w:r>
        <w:rPr>
          <w:szCs w:val="21"/>
          <w:rFonts w:ascii="宋体" w:hAnsi="宋体"/>
        </w:rPr>
        <w:t xml:space="preserve">PCS cannot be connected to the grid to feed power, and the monitoring platform fault alarms the grid overvoltage</w:t>
      </w:r>
    </w:p>
    <w:p w:rsidRPr="00611311" w:rsidR="005377C4" w:rsidP="005377C4" w:rsidRDefault="005377C4" w14:paraId="2BBF0E5D" w14:textId="39DB4963">
      <w:pPr>
        <w:pStyle w:val="a8"/>
        <w:numPr>
          <w:ilvl w:val="0"/>
          <w:numId w:val="1"/>
        </w:numPr>
        <w:spacing w:line="360" w:lineRule="auto"/>
        <w:ind w:firstLineChars="0"/>
        <w:rPr>
          <w:szCs w:val="21"/>
          <w:rFonts w:ascii="宋体" w:hAnsi="宋体" w:eastAsia="宋体"/>
        </w:rPr>
      </w:pPr>
      <w:r>
        <w:rPr>
          <w:szCs w:val="21"/>
          <w:b/>
          <w:bCs/>
          <w:rFonts w:ascii="宋体" w:hAnsi="宋体"/>
        </w:rPr>
        <w:t xml:space="preserve">Cause of failure:</w:t>
      </w:r>
      <w:r>
        <w:rPr>
          <w:szCs w:val="21"/>
          <w:rFonts w:ascii="宋体" w:hAnsi="宋体"/>
        </w:rPr>
        <w:t xml:space="preserve">The grid voltage is higher than the grid protection parameter and the high voltage duration exceeds the set HVRT value.</w:t>
      </w:r>
    </w:p>
    <w:p w:rsidRPr="00611311" w:rsidR="005377C4" w:rsidP="005377C4" w:rsidRDefault="005377C4" w14:paraId="5B96DE33" w14:textId="2C9B39FA">
      <w:pPr>
        <w:pStyle w:val="a8"/>
        <w:numPr>
          <w:ilvl w:val="0"/>
          <w:numId w:val="1"/>
        </w:numPr>
        <w:spacing w:line="360" w:lineRule="auto"/>
        <w:ind w:firstLineChars="0"/>
        <w:rPr>
          <w:b/>
          <w:bCs/>
          <w:szCs w:val="21"/>
          <w:rFonts w:ascii="宋体" w:hAnsi="宋体" w:eastAsia="宋体"/>
        </w:rPr>
      </w:pPr>
      <w:r>
        <w:rPr>
          <w:szCs w:val="21"/>
          <w:b/>
          <w:bCs/>
          <w:rFonts w:ascii="宋体" w:hAnsi="宋体"/>
        </w:rPr>
        <w:t xml:space="preserve">Applicable models:</w:t>
      </w:r>
      <w:r>
        <w:rPr>
          <w:szCs w:val="21"/>
          <w:rFonts w:ascii="宋体" w:hAnsi="宋体"/>
        </w:rPr>
        <w:t xml:space="preserve">PCS-125KG1</w:t>
      </w:r>
    </w:p>
    <w:p w:rsidRPr="00611311" w:rsidR="005377C4" w:rsidP="005377C4" w:rsidRDefault="005377C4" w14:paraId="2D1D05D4" w14:textId="77777777">
      <w:pPr>
        <w:pStyle w:val="a8"/>
        <w:numPr>
          <w:ilvl w:val="0"/>
          <w:numId w:val="1"/>
        </w:numPr>
        <w:spacing w:line="360" w:lineRule="auto"/>
        <w:ind w:firstLineChars="0"/>
        <w:rPr>
          <w:szCs w:val="21"/>
          <w:rFonts w:ascii="宋体" w:hAnsi="宋体" w:eastAsia="宋体"/>
        </w:rPr>
      </w:pPr>
      <w:r>
        <w:rPr>
          <w:b/>
          <w:bCs/>
          <w:szCs w:val="21"/>
          <w:rFonts w:ascii="宋体" w:hAnsi="宋体"/>
        </w:rPr>
        <w:t xml:space="preserve">Troubleshooting steps:</w:t>
      </w:r>
    </w:p>
    <w:tbl>
      <w:tblPr>
        <w:tblStyle w:val="a7"/>
        <w:tblW w:w="9073" w:type="dxa"/>
        <w:tblInd w:w="-147" w:type="dxa"/>
        <w:tblLayout w:type="fixed"/>
        <w:tblLook w:val="04A0" w:firstRow="1" w:lastRow="0" w:firstColumn="1" w:lastColumn="0" w:noHBand="0" w:noVBand="1"/>
      </w:tblPr>
      <w:tblGrid>
        <w:gridCol w:w="989"/>
        <w:gridCol w:w="4256"/>
        <w:gridCol w:w="3828"/>
      </w:tblGrid>
      <w:tr w:rsidRPr="00611311" w:rsidR="005D0143" w:rsidTr="005D0143" w14:paraId="5D0F087F" w14:textId="77777777">
        <w:tc>
          <w:tcPr>
            <w:tcW w:w="989" w:type="dxa"/>
          </w:tcPr>
          <w:p w:rsidRPr="00611311" w:rsidR="005377C4" w:rsidP="002B56D9" w:rsidRDefault="005377C4" w14:paraId="4D756032" w14:textId="77777777">
            <w:pPr>
              <w:pStyle w:val="a8"/>
              <w:spacing w:line="360" w:lineRule="auto"/>
              <w:ind w:firstLine="0" w:firstLineChars="0"/>
              <w:rPr>
                <w:b/>
                <w:bCs/>
                <w:szCs w:val="21"/>
                <w:rFonts w:ascii="宋体" w:hAnsi="宋体" w:eastAsia="宋体"/>
              </w:rPr>
            </w:pPr>
            <w:r>
              <w:rPr>
                <w:b/>
                <w:bCs/>
                <w:szCs w:val="21"/>
                <w:rFonts w:ascii="宋体" w:hAnsi="宋体"/>
              </w:rPr>
              <w:t xml:space="preserve">procedure</w:t>
            </w:r>
          </w:p>
        </w:tc>
        <w:tc>
          <w:tcPr>
            <w:tcW w:w="4256" w:type="dxa"/>
          </w:tcPr>
          <w:p w:rsidRPr="00611311" w:rsidR="005377C4" w:rsidP="002B56D9" w:rsidRDefault="005377C4" w14:paraId="2AF83143" w14:textId="77777777">
            <w:pPr>
              <w:pStyle w:val="a8"/>
              <w:spacing w:line="360" w:lineRule="auto"/>
              <w:ind w:firstLine="0" w:firstLineChars="0"/>
              <w:rPr>
                <w:b/>
                <w:bCs/>
                <w:szCs w:val="21"/>
                <w:rFonts w:ascii="宋体" w:hAnsi="宋体" w:eastAsia="宋体"/>
              </w:rPr>
            </w:pPr>
            <w:r>
              <w:rPr>
                <w:b/>
                <w:bCs/>
                <w:szCs w:val="21"/>
                <w:rFonts w:ascii="宋体" w:hAnsi="宋体"/>
              </w:rPr>
              <w:t xml:space="preserve">Contents</w:t>
            </w:r>
          </w:p>
        </w:tc>
        <w:tc>
          <w:tcPr>
            <w:tcW w:w="3828" w:type="dxa"/>
          </w:tcPr>
          <w:p w:rsidRPr="00611311" w:rsidR="005377C4" w:rsidP="002B56D9" w:rsidRDefault="005377C4" w14:paraId="0E869BAE" w14:textId="77777777">
            <w:pPr>
              <w:pStyle w:val="a8"/>
              <w:spacing w:line="360" w:lineRule="auto"/>
              <w:ind w:firstLine="0" w:firstLineChars="0"/>
              <w:rPr>
                <w:b/>
                <w:bCs/>
                <w:szCs w:val="21"/>
                <w:rFonts w:ascii="宋体" w:hAnsi="宋体" w:eastAsia="宋体"/>
              </w:rPr>
            </w:pPr>
            <w:r>
              <w:rPr>
                <w:b/>
                <w:bCs/>
                <w:szCs w:val="21"/>
                <w:rFonts w:ascii="宋体" w:hAnsi="宋体"/>
              </w:rPr>
              <w:t xml:space="preserve">Example (picture or reference file)</w:t>
            </w:r>
          </w:p>
        </w:tc>
      </w:tr>
      <w:tr w:rsidRPr="00611311" w:rsidR="005D0143" w:rsidTr="005D0143" w14:paraId="4ECFD7F1" w14:textId="77777777">
        <w:tc>
          <w:tcPr>
            <w:tcW w:w="989" w:type="dxa"/>
          </w:tcPr>
          <w:p w:rsidRPr="00611311" w:rsidR="005377C4" w:rsidP="002B56D9" w:rsidRDefault="005377C4" w14:paraId="24C5E95F" w14:textId="77777777">
            <w:pPr>
              <w:pStyle w:val="a8"/>
              <w:spacing w:line="360" w:lineRule="auto"/>
              <w:ind w:firstLine="0" w:firstLineChars="0"/>
              <w:rPr>
                <w:szCs w:val="21"/>
                <w:rFonts w:ascii="宋体" w:hAnsi="宋体" w:eastAsia="宋体"/>
              </w:rPr>
            </w:pPr>
            <w:r>
              <w:rPr>
                <w:szCs w:val="21"/>
                <w:rFonts w:ascii="宋体" w:hAnsi="宋体"/>
              </w:rPr>
              <w:t xml:space="preserve">Step1</w:t>
            </w:r>
          </w:p>
        </w:tc>
        <w:tc>
          <w:tcPr>
            <w:tcW w:w="4256" w:type="dxa"/>
          </w:tcPr>
          <w:p w:rsidRPr="00611311" w:rsidR="00200948" w:rsidP="00611311" w:rsidRDefault="00611311" w14:paraId="11176261" w14:textId="7A66AE44">
            <w:pPr>
              <w:spacing w:line="360" w:lineRule="auto"/>
              <w:ind w:firstLine="400" w:firstLineChars="200"/>
              <w:rPr>
                <w:rFonts w:ascii="宋体" w:hAnsi="宋体" w:eastAsia="宋体"/>
              </w:rPr>
            </w:pPr>
            <w:r>
              <w:rPr>
                <w:rFonts w:ascii="宋体" w:hAnsi="宋体"/>
              </w:rPr>
              <w:t xml:space="preserve">Please confirm the alarm information on the monitoring platform, and record the alarm time, equipment number and duration.</w:t>
            </w:r>
          </w:p>
        </w:tc>
        <w:tc>
          <w:tcPr>
            <w:tcW w:w="3828" w:type="dxa"/>
          </w:tcPr>
          <w:p w:rsidRPr="00611311" w:rsidR="005377C4" w:rsidP="002B56D9" w:rsidRDefault="00200948" w14:paraId="4925EBB2" w14:textId="104A1B3D">
            <w:pPr>
              <w:pStyle w:val="a8"/>
              <w:spacing w:line="360" w:lineRule="auto"/>
              <w:ind w:firstLine="0" w:firstLineChars="0"/>
              <w:rPr>
                <w:szCs w:val="21"/>
                <w:rFonts w:ascii="宋体" w:hAnsi="宋体" w:eastAsia="宋体"/>
              </w:rPr>
            </w:pPr>
            <w:r>
              <w:rPr>
                <w:rFonts w:ascii="宋体" w:hAnsi="宋体"/>
              </w:rPr>
              <w:drawing>
                <wp:inline distT="0" distB="0" distL="0" distR="0" wp14:anchorId="0603AA3C" wp14:editId="346D1C98">
                  <wp:extent cx="2342148" cy="692549"/>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88727" cy="706322"/>
                          </a:xfrm>
                          <a:prstGeom prst="rect">
                            <a:avLst/>
                          </a:prstGeom>
                        </pic:spPr>
                      </pic:pic>
                    </a:graphicData>
                  </a:graphic>
                </wp:inline>
              </w:drawing>
            </w:r>
          </w:p>
        </w:tc>
      </w:tr>
      <w:tr w:rsidRPr="00611311" w:rsidR="005D0143" w:rsidTr="005D0143" w14:paraId="53626087" w14:textId="77777777">
        <w:tc>
          <w:tcPr>
            <w:tcW w:w="989" w:type="dxa"/>
          </w:tcPr>
          <w:p w:rsidRPr="00611311" w:rsidR="005377C4" w:rsidP="002B56D9" w:rsidRDefault="005377C4" w14:paraId="169C0EF2" w14:textId="77777777">
            <w:pPr>
              <w:pStyle w:val="a8"/>
              <w:spacing w:line="360" w:lineRule="auto"/>
              <w:ind w:firstLine="0" w:firstLineChars="0"/>
              <w:rPr>
                <w:szCs w:val="21"/>
                <w:rFonts w:ascii="宋体" w:hAnsi="宋体" w:eastAsia="宋体"/>
              </w:rPr>
            </w:pPr>
            <w:r>
              <w:rPr>
                <w:szCs w:val="21"/>
                <w:rFonts w:ascii="宋体" w:hAnsi="宋体"/>
              </w:rPr>
              <w:t xml:space="preserve">Step2</w:t>
            </w:r>
          </w:p>
        </w:tc>
        <w:tc>
          <w:tcPr>
            <w:tcW w:w="4256" w:type="dxa"/>
          </w:tcPr>
          <w:p w:rsidRPr="00611311" w:rsidR="005377C4" w:rsidP="00611311" w:rsidRDefault="0047314F" w14:paraId="61F69E22" w14:textId="77777777">
            <w:pPr>
              <w:spacing w:line="360" w:lineRule="auto"/>
              <w:ind w:firstLine="400" w:firstLineChars="200"/>
              <w:rPr>
                <w:szCs w:val="21"/>
                <w:rFonts w:ascii="宋体" w:hAnsi="宋体" w:eastAsia="宋体"/>
              </w:rPr>
            </w:pPr>
            <w:r>
              <w:rPr>
                <w:szCs w:val="21"/>
                <w:rFonts w:ascii="宋体" w:hAnsi="宋体"/>
              </w:rPr>
              <w:t xml:space="preserve">Check protection parameters:</w:t>
            </w:r>
          </w:p>
          <w:p w:rsidRPr="00611311" w:rsidR="0047314F" w:rsidP="005F2C3D" w:rsidRDefault="0047314F" w14:paraId="67D67891" w14:textId="50385C0A">
            <w:pPr>
              <w:spacing w:line="360" w:lineRule="auto"/>
              <w:ind w:firstLine="400" w:firstLineChars="200"/>
              <w:rPr>
                <w:szCs w:val="21"/>
                <w:rFonts w:ascii="宋体" w:hAnsi="宋体" w:eastAsia="宋体"/>
              </w:rPr>
            </w:pPr>
            <w:r>
              <w:rPr>
                <w:szCs w:val="21"/>
                <w:rFonts w:ascii="宋体" w:hAnsi="宋体"/>
              </w:rPr>
              <w:t xml:space="preserve">1. Check the mains voltage recorded by PCS during the alarm time;</w:t>
            </w:r>
          </w:p>
          <w:p w:rsidRPr="00611311" w:rsidR="0047314F" w:rsidP="005F2C3D" w:rsidRDefault="0047314F" w14:paraId="1ADAA047" w14:textId="4F5266A0">
            <w:pPr>
              <w:spacing w:line="360" w:lineRule="auto"/>
              <w:ind w:firstLine="400" w:firstLineChars="200"/>
              <w:rPr>
                <w:szCs w:val="21"/>
                <w:rFonts w:ascii="宋体" w:hAnsi="宋体" w:eastAsia="宋体"/>
              </w:rPr>
            </w:pPr>
            <w:r>
              <w:rPr>
                <w:szCs w:val="21"/>
                <w:rFonts w:ascii="宋体" w:hAnsi="宋体"/>
              </w:rPr>
              <w:t xml:space="preserve">2. Check whether the overvoltage protection point set by PCS is lower than the default value of safety regulations;</w:t>
            </w:r>
          </w:p>
          <w:p w:rsidRPr="00611311" w:rsidR="00447ABF" w:rsidP="0047314F" w:rsidRDefault="00447ABF" w14:paraId="564075D4" w14:textId="76A1997B">
            <w:pPr>
              <w:spacing w:line="360" w:lineRule="auto"/>
              <w:rPr>
                <w:szCs w:val="21"/>
                <w:rFonts w:ascii="宋体" w:hAnsi="宋体" w:eastAsia="宋体"/>
              </w:rPr>
            </w:pPr>
            <w:r>
              <w:rPr>
                <w:szCs w:val="21"/>
                <w:rFonts w:ascii="宋体" w:hAnsi="宋体"/>
              </w:rPr>
              <w:t xml:space="preserve">(At present, PCS country settings and protection point settings can only be set and checked through the SUNSPEC host computer. The version update in April 2026 will support IEMS settings.)</w:t>
            </w:r>
          </w:p>
          <w:p w:rsidRPr="00611311" w:rsidR="006215CE" w:rsidP="005F2C3D" w:rsidRDefault="00C44033" w14:paraId="40F3ED25" w14:textId="6439F0F5">
            <w:pPr>
              <w:spacing w:line="360" w:lineRule="auto"/>
              <w:ind w:firstLine="400" w:firstLineChars="200"/>
              <w:rPr>
                <w:szCs w:val="21"/>
                <w:rFonts w:ascii="宋体" w:hAnsi="宋体" w:eastAsia="宋体"/>
              </w:rPr>
            </w:pPr>
            <w:r>
              <w:rPr>
                <w:szCs w:val="21"/>
                <w:rFonts w:ascii="宋体" w:hAnsi="宋体"/>
              </w:rPr>
              <w:t xml:space="preserve">When alarming, if the mains voltage is higher than the protection point and lower than the safety requirements, the setting is adjusted back to the default value, and the alarm disappears;</w:t>
            </w:r>
          </w:p>
          <w:p w:rsidRPr="00611311" w:rsidR="006215CE" w:rsidP="005F2C3D" w:rsidRDefault="00C44033" w14:paraId="538D9CD9" w14:textId="52D9C21C">
            <w:pPr>
              <w:spacing w:line="360" w:lineRule="auto"/>
              <w:ind w:firstLine="400" w:firstLineChars="200"/>
              <w:rPr>
                <w:szCs w:val="21"/>
                <w:rFonts w:ascii="宋体" w:hAnsi="宋体" w:eastAsia="宋体"/>
              </w:rPr>
            </w:pPr>
            <w:r>
              <w:rPr>
                <w:szCs w:val="21"/>
                <w:rFonts w:ascii="宋体" w:hAnsi="宋体"/>
              </w:rPr>
              <w:t xml:space="preserve">When alarming, if the mains voltage is higher than the safety requirements, please refer to Step3;</w:t>
            </w:r>
          </w:p>
        </w:tc>
        <w:tc>
          <w:tcPr>
            <w:tcW w:w="3828" w:type="dxa"/>
          </w:tcPr>
          <w:p w:rsidRPr="00611311" w:rsidR="005377C4" w:rsidP="002B56D9" w:rsidRDefault="0047314F" w14:paraId="7AC7244B" w14:textId="08652655">
            <w:pPr>
              <w:pStyle w:val="a8"/>
              <w:spacing w:line="360" w:lineRule="auto"/>
              <w:ind w:firstLine="0" w:firstLineChars="0"/>
              <w:rPr>
                <w:szCs w:val="21"/>
                <w:rFonts w:ascii="宋体" w:hAnsi="宋体" w:eastAsia="宋体"/>
              </w:rPr>
            </w:pPr>
            <w:r>
              <w:rPr>
                <w:rFonts w:ascii="宋体" w:hAnsi="宋体"/>
              </w:rPr>
              <w:drawing>
                <wp:inline distT="0" distB="0" distL="0" distR="0" wp14:anchorId="2B7C40FB" wp14:editId="4626B05F">
                  <wp:extent cx="2342585" cy="1568116"/>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71766" cy="1587650"/>
                          </a:xfrm>
                          <a:prstGeom prst="rect">
                            <a:avLst/>
                          </a:prstGeom>
                        </pic:spPr>
                      </pic:pic>
                    </a:graphicData>
                  </a:graphic>
                </wp:inline>
              </w:drawing>
            </w:r>
          </w:p>
          <w:p w:rsidRPr="00611311" w:rsidR="005377C4" w:rsidP="002B56D9" w:rsidRDefault="005377C4" w14:paraId="44C84DED" w14:textId="370A540F">
            <w:pPr>
              <w:pStyle w:val="a8"/>
              <w:spacing w:line="360" w:lineRule="auto"/>
              <w:ind w:firstLine="0" w:firstLineChars="0"/>
              <w:rPr>
                <w:rFonts w:ascii="宋体" w:hAnsi="宋体" w:eastAsia="宋体"/>
                <w:szCs w:val="21"/>
              </w:rPr>
            </w:pPr>
          </w:p>
        </w:tc>
      </w:tr>
      <w:tr w:rsidRPr="00611311" w:rsidR="005D0143" w:rsidTr="005D0143" w14:paraId="63CE7F7D" w14:textId="77777777">
        <w:tc>
          <w:tcPr>
            <w:tcW w:w="989" w:type="dxa"/>
          </w:tcPr>
          <w:p w:rsidRPr="00611311" w:rsidR="005377C4" w:rsidP="002B56D9" w:rsidRDefault="005377C4" w14:paraId="001DF64F" w14:textId="77777777">
            <w:pPr>
              <w:pStyle w:val="a8"/>
              <w:spacing w:line="360" w:lineRule="auto"/>
              <w:ind w:firstLine="0" w:firstLineChars="0"/>
              <w:rPr>
                <w:szCs w:val="21"/>
                <w:rFonts w:ascii="宋体" w:hAnsi="宋体" w:eastAsia="宋体"/>
              </w:rPr>
            </w:pPr>
            <w:r>
              <w:rPr>
                <w:szCs w:val="21"/>
                <w:rFonts w:ascii="宋体" w:hAnsi="宋体"/>
              </w:rPr>
              <w:t xml:space="preserve">Step3</w:t>
            </w:r>
          </w:p>
        </w:tc>
        <w:tc>
          <w:tcPr>
            <w:tcW w:w="4256" w:type="dxa"/>
          </w:tcPr>
          <w:p w:rsidR="00611311" w:rsidP="00611311" w:rsidRDefault="00611311" w14:paraId="1FDDAF01" w14:textId="77777777">
            <w:pPr>
              <w:spacing w:line="360" w:lineRule="auto"/>
              <w:ind w:firstLine="400" w:firstLineChars="200"/>
              <w:rPr>
                <w:szCs w:val="21"/>
                <w:rFonts w:ascii="宋体" w:hAnsi="宋体" w:eastAsia="宋体"/>
              </w:rPr>
            </w:pPr>
            <w:r>
              <w:rPr>
                <w:szCs w:val="21"/>
                <w:rFonts w:ascii="宋体" w:hAnsi="宋体"/>
              </w:rPr>
              <w:t xml:space="preserve">After the PCS is powered off and discharged, the grid voltage is measured.</w:t>
            </w:r>
          </w:p>
          <w:p w:rsidRPr="00611311" w:rsidR="005D0143" w:rsidP="00611311" w:rsidRDefault="005D0143" w14:paraId="6A2737F0" w14:textId="08E03B61">
            <w:pPr>
              <w:spacing w:line="360" w:lineRule="auto"/>
              <w:ind w:firstLine="400" w:firstLineChars="200"/>
              <w:rPr>
                <w:szCs w:val="21"/>
                <w:rFonts w:ascii="宋体" w:hAnsi="宋体" w:eastAsia="宋体"/>
              </w:rPr>
            </w:pPr>
            <w:r>
              <w:rPr>
                <w:szCs w:val="21"/>
                <w:rFonts w:ascii="宋体" w:hAnsi="宋体"/>
              </w:rPr>
              <w:t xml:space="preserve">Turn off the PCS battery switch, DC circuit breaker, AC circuit breaker to ensure that the equipment is disconnected from the grid; Wait at least 10 minutes for the internal capacitor to fully discharge.</w:t>
            </w:r>
            <w:r>
              <w:rPr>
                <w:szCs w:val="21"/>
                <w:rFonts w:ascii="宋体" w:hAnsi="宋体"/>
              </w:rPr>
              <w:t xml:space="preserve"> </w:t>
            </w:r>
            <w:r>
              <w:rPr>
                <w:szCs w:val="21"/>
                <w:rFonts w:ascii="宋体" w:hAnsi="宋体"/>
              </w:rPr>
              <w:t xml:space="preserve">Use the measuring instrument to confirm that there is no residual voltage at the BESS mains port.</w:t>
            </w:r>
          </w:p>
          <w:p w:rsidRPr="00611311" w:rsidR="005D0143" w:rsidP="00611311" w:rsidRDefault="005D0143" w14:paraId="7D99E80C" w14:textId="1D52BC0D">
            <w:pPr>
              <w:spacing w:line="360" w:lineRule="auto"/>
              <w:ind w:firstLine="400" w:firstLineChars="200"/>
              <w:rPr>
                <w:szCs w:val="21"/>
                <w:rFonts w:ascii="宋体" w:hAnsi="宋体" w:eastAsia="宋体"/>
              </w:rPr>
            </w:pPr>
            <w:r>
              <w:rPr>
                <w:szCs w:val="21"/>
                <w:rFonts w:ascii="宋体" w:hAnsi="宋体"/>
              </w:rPr>
              <w:t xml:space="preserve">Measurement operation:</w:t>
            </w:r>
          </w:p>
          <w:p w:rsidRPr="00611311" w:rsidR="006215CE" w:rsidP="00611311" w:rsidRDefault="005D0143" w14:paraId="7208247E" w14:textId="312C86CC">
            <w:pPr>
              <w:spacing w:line="360" w:lineRule="auto"/>
              <w:ind w:firstLine="400" w:firstLineChars="200"/>
              <w:rPr>
                <w:szCs w:val="21"/>
                <w:rFonts w:ascii="宋体" w:hAnsi="宋体" w:eastAsia="宋体"/>
              </w:rPr>
            </w:pPr>
            <w:r>
              <w:rPr>
                <w:szCs w:val="21"/>
                <w:rFonts w:ascii="宋体" w:hAnsi="宋体"/>
              </w:rPr>
              <w:t xml:space="preserve">When it is confirmed that it is safe, re-close the grid-side circuit breaker to energize the grid connection point.</w:t>
            </w:r>
            <w:r>
              <w:rPr>
                <w:szCs w:val="21"/>
                <w:rFonts w:ascii="宋体" w:hAnsi="宋体"/>
              </w:rPr>
              <w:t xml:space="preserve"> </w:t>
            </w:r>
            <w:r>
              <w:rPr>
                <w:szCs w:val="21"/>
                <w:rFonts w:ascii="宋体" w:hAnsi="宋体"/>
              </w:rPr>
              <w:t xml:space="preserve">Connect the multimeter or analyzer to the three-phase ports (L1, L2, L3, N) of the grid-connected point to measure the voltage phase by phase, and record the phase voltage value.</w:t>
            </w:r>
            <w:r>
              <w:rPr>
                <w:szCs w:val="21"/>
                <w:rFonts w:ascii="宋体" w:hAnsi="宋体"/>
              </w:rPr>
              <w:t xml:space="preserve"> </w:t>
            </w:r>
            <w:r>
              <w:rPr>
                <w:szCs w:val="21"/>
                <w:rFonts w:ascii="宋体" w:hAnsi="宋体"/>
              </w:rPr>
              <w:t xml:space="preserve">Compare whether the measured grid voltage value is consistent with the PCS sampled voltage:</w:t>
            </w:r>
          </w:p>
          <w:p w:rsidRPr="00611311" w:rsidR="005D0143" w:rsidP="00611311" w:rsidRDefault="005D0143" w14:paraId="76BB6EFD" w14:textId="638FEAF4">
            <w:pPr>
              <w:spacing w:line="360" w:lineRule="auto"/>
              <w:ind w:firstLine="400" w:firstLineChars="200"/>
              <w:rPr>
                <w:szCs w:val="21"/>
                <w:rFonts w:ascii="宋体" w:hAnsi="宋体" w:eastAsia="宋体"/>
              </w:rPr>
            </w:pPr>
            <w:r>
              <w:rPr>
                <w:szCs w:val="21"/>
                <w:rFonts w:ascii="宋体" w:hAnsi="宋体"/>
              </w:rPr>
              <w:t xml:space="preserve">1. If the measured value is consistent with the sampled value, it means that the grid voltage is too high. Please contact the local power grid company for processing;</w:t>
            </w:r>
          </w:p>
          <w:p w:rsidRPr="00611311" w:rsidR="005D0143" w:rsidP="00611311" w:rsidRDefault="005D0143" w14:paraId="5684A825" w14:textId="0AE749BC">
            <w:pPr>
              <w:spacing w:line="360" w:lineRule="auto"/>
              <w:ind w:firstLine="400" w:firstLineChars="200"/>
              <w:rPr>
                <w:szCs w:val="21"/>
                <w:rFonts w:ascii="宋体" w:hAnsi="宋体" w:eastAsia="宋体"/>
              </w:rPr>
            </w:pPr>
            <w:r>
              <w:rPr>
                <w:szCs w:val="21"/>
                <w:rFonts w:ascii="宋体" w:hAnsi="宋体"/>
              </w:rPr>
              <w:t xml:space="preserve">2. The difference between the measured value and the sampled value is more than 5%, please refer to Step4;</w:t>
            </w:r>
          </w:p>
        </w:tc>
        <w:tc>
          <w:tcPr>
            <w:tcW w:w="3828" w:type="dxa"/>
          </w:tcPr>
          <w:p w:rsidRPr="00611311" w:rsidR="005377C4" w:rsidP="002B56D9" w:rsidRDefault="005377C4" w14:paraId="3A3379A5" w14:textId="77777777">
            <w:pPr>
              <w:pStyle w:val="a8"/>
              <w:spacing w:line="360" w:lineRule="auto"/>
              <w:ind w:firstLine="0" w:firstLineChars="0"/>
              <w:rPr>
                <w:rFonts w:ascii="宋体" w:hAnsi="宋体" w:eastAsia="宋体"/>
                <w:szCs w:val="21"/>
              </w:rPr>
            </w:pPr>
          </w:p>
        </w:tc>
      </w:tr>
      <w:tr w:rsidRPr="00611311" w:rsidR="005D0143" w:rsidTr="005D0143" w14:paraId="365B40F5" w14:textId="77777777">
        <w:tc>
          <w:tcPr>
            <w:tcW w:w="989" w:type="dxa"/>
          </w:tcPr>
          <w:p w:rsidRPr="00611311" w:rsidR="005D0143" w:rsidP="002B56D9" w:rsidRDefault="005D0143" w14:paraId="2A0F6FD8" w14:textId="666A60CD">
            <w:pPr>
              <w:pStyle w:val="a8"/>
              <w:spacing w:line="360" w:lineRule="auto"/>
              <w:ind w:firstLine="0" w:firstLineChars="0"/>
              <w:rPr>
                <w:szCs w:val="21"/>
                <w:rFonts w:ascii="宋体" w:hAnsi="宋体" w:eastAsia="宋体"/>
              </w:rPr>
            </w:pPr>
            <w:r>
              <w:rPr>
                <w:szCs w:val="21"/>
                <w:rFonts w:ascii="宋体" w:hAnsi="宋体"/>
              </w:rPr>
              <w:t xml:space="preserve">Step4</w:t>
            </w:r>
          </w:p>
        </w:tc>
        <w:tc>
          <w:tcPr>
            <w:tcW w:w="4256" w:type="dxa"/>
          </w:tcPr>
          <w:p w:rsidRPr="00611311" w:rsidR="00CD1E81" w:rsidP="00611311" w:rsidRDefault="00611311" w14:paraId="4B068AC7" w14:textId="23C56862">
            <w:pPr>
              <w:spacing w:line="360" w:lineRule="auto"/>
              <w:ind w:firstLine="400" w:firstLineChars="200"/>
              <w:rPr>
                <w:szCs w:val="21"/>
                <w:rFonts w:ascii="宋体" w:hAnsi="宋体" w:eastAsia="宋体"/>
              </w:rPr>
            </w:pPr>
            <w:r>
              <w:rPr>
                <w:szCs w:val="21"/>
                <w:rFonts w:ascii="宋体" w:hAnsi="宋体"/>
              </w:rPr>
              <w:t xml:space="preserve">When the power is disconnected, check the connection between the PCS mains and the ground wire.</w:t>
            </w:r>
          </w:p>
          <w:p w:rsidRPr="00611311" w:rsidR="00CD1E81" w:rsidP="00611311" w:rsidRDefault="00611311" w14:paraId="031E6902" w14:textId="31560FDC">
            <w:pPr>
              <w:spacing w:line="360" w:lineRule="auto"/>
              <w:ind w:firstLine="400" w:firstLineChars="200"/>
              <w:rPr>
                <w:szCs w:val="21"/>
                <w:rFonts w:ascii="宋体" w:hAnsi="宋体" w:eastAsia="宋体"/>
              </w:rPr>
            </w:pPr>
            <w:r>
              <w:rPr>
                <w:szCs w:val="21"/>
                <w:rFonts w:ascii="宋体" w:hAnsi="宋体"/>
              </w:rPr>
              <w:t xml:space="preserve">1.Turn off the PCS battery switch, DC circuit breaker, AC circuit breaker to ensure that the equipment is disconnected from the grid.</w:t>
            </w:r>
          </w:p>
          <w:p w:rsidRPr="00611311" w:rsidR="00CD1E81" w:rsidP="00611311" w:rsidRDefault="00CD1E81" w14:paraId="196F965D" w14:textId="29D71F8F">
            <w:pPr>
              <w:spacing w:line="360" w:lineRule="auto"/>
              <w:ind w:firstLine="400" w:firstLineChars="200"/>
              <w:rPr>
                <w:szCs w:val="21"/>
                <w:rFonts w:ascii="宋体" w:hAnsi="宋体" w:eastAsia="宋体"/>
              </w:rPr>
            </w:pPr>
            <w:r>
              <w:rPr>
                <w:szCs w:val="21"/>
                <w:rFonts w:ascii="宋体" w:hAnsi="宋体"/>
              </w:rPr>
              <w:t xml:space="preserve">Use a multimeter to verify that there is no voltage at the port to ensure safety.</w:t>
            </w:r>
          </w:p>
          <w:p w:rsidRPr="00611311" w:rsidR="00CD1E81" w:rsidP="00CD1E81" w:rsidRDefault="00CD1E81" w14:paraId="2BB2C020" w14:textId="7B78AE41">
            <w:pPr>
              <w:spacing w:line="360" w:lineRule="auto"/>
              <w:rPr>
                <w:szCs w:val="21"/>
                <w:rFonts w:ascii="宋体" w:hAnsi="宋体" w:eastAsia="宋体"/>
              </w:rPr>
            </w:pPr>
            <w:r>
              <w:rPr>
                <w:szCs w:val="21"/>
                <w:rFonts w:ascii="宋体" w:hAnsi="宋体"/>
              </w:rPr>
              <w:t xml:space="preserve">The wait time should be greater than or equal to 10 minutes to allow the internal capacitor to fully discharge.</w:t>
            </w:r>
          </w:p>
          <w:p w:rsidRPr="00C44033" w:rsidR="00CD1E81" w:rsidP="00C44033" w:rsidRDefault="00611311" w14:paraId="0381617F" w14:textId="4B392044">
            <w:pPr>
              <w:spacing w:line="360" w:lineRule="auto"/>
              <w:ind w:firstLine="400" w:firstLineChars="200"/>
              <w:rPr>
                <w:bCs/>
                <w:szCs w:val="21"/>
                <w:rFonts w:ascii="宋体" w:hAnsi="宋体" w:eastAsia="宋体"/>
              </w:rPr>
            </w:pPr>
            <w:r>
              <w:rPr>
                <w:bCs/>
                <w:szCs w:val="21"/>
                <w:rFonts w:ascii="宋体" w:hAnsi="宋体"/>
              </w:rPr>
              <w:t xml:space="preserve">2. Inspection of municipal power lines</w:t>
            </w:r>
          </w:p>
          <w:p w:rsidRPr="00C44033" w:rsidR="00CD1E81" w:rsidP="00C44033" w:rsidRDefault="00CD1E81" w14:paraId="508B261A" w14:textId="4DC189A2">
            <w:pPr>
              <w:pStyle w:val="a8"/>
              <w:numPr>
                <w:ilvl w:val="0"/>
                <w:numId w:val="6"/>
              </w:numPr>
              <w:spacing w:line="360" w:lineRule="auto"/>
              <w:ind w:firstLineChars="0"/>
              <w:rPr>
                <w:szCs w:val="21"/>
                <w:rFonts w:ascii="宋体" w:hAnsi="宋体" w:eastAsia="宋体"/>
              </w:rPr>
            </w:pPr>
            <w:r>
              <w:rPr>
                <w:szCs w:val="21"/>
                <w:rFonts w:ascii="宋体" w:hAnsi="宋体"/>
              </w:rPr>
              <w:t xml:space="preserve">Appearance inspection: Confirm that the insulation layer of the municipal wire is not damaged or burnt.</w:t>
            </w:r>
          </w:p>
          <w:p w:rsidRPr="00C44033" w:rsidR="00CD1E81" w:rsidP="00C44033" w:rsidRDefault="00CD1E81" w14:paraId="520C7065" w14:textId="647CA840">
            <w:pPr>
              <w:pStyle w:val="a8"/>
              <w:numPr>
                <w:ilvl w:val="0"/>
                <w:numId w:val="6"/>
              </w:numPr>
              <w:spacing w:line="360" w:lineRule="auto"/>
              <w:ind w:firstLineChars="0"/>
              <w:rPr>
                <w:szCs w:val="21"/>
                <w:rFonts w:ascii="宋体" w:hAnsi="宋体" w:eastAsia="宋体"/>
              </w:rPr>
            </w:pPr>
            <w:r>
              <w:rPr>
                <w:szCs w:val="21"/>
                <w:rFonts w:ascii="宋体" w:hAnsi="宋体"/>
              </w:rPr>
              <w:t xml:space="preserve">Terminal Inspection: Check whether the terminals are firm and avoid loose or dummy connections.</w:t>
            </w:r>
          </w:p>
          <w:p w:rsidRPr="00C44033" w:rsidR="00C44033" w:rsidP="00C44033" w:rsidRDefault="00CD1E81" w14:paraId="4FDDCDEE" w14:textId="7881D86C">
            <w:pPr>
              <w:pStyle w:val="a8"/>
              <w:numPr>
                <w:ilvl w:val="0"/>
                <w:numId w:val="7"/>
              </w:numPr>
              <w:spacing w:line="360" w:lineRule="auto"/>
              <w:ind w:firstLineChars="0"/>
              <w:rPr>
                <w:bCs/>
                <w:szCs w:val="21"/>
                <w:rFonts w:ascii="宋体" w:hAnsi="宋体" w:eastAsia="宋体"/>
              </w:rPr>
            </w:pPr>
            <w:r>
              <w:rPr>
                <w:bCs/>
                <w:szCs w:val="21"/>
                <w:rFonts w:ascii="宋体" w:hAnsi="宋体"/>
              </w:rPr>
              <w:t xml:space="preserve">Ground inspection</w:t>
            </w:r>
          </w:p>
          <w:p w:rsidRPr="00C44033" w:rsidR="00C44033" w:rsidP="00CD1E81" w:rsidRDefault="00CD1E81" w14:paraId="4F99FE46" w14:textId="77777777">
            <w:pPr>
              <w:pStyle w:val="a8"/>
              <w:numPr>
                <w:ilvl w:val="0"/>
                <w:numId w:val="6"/>
              </w:numPr>
              <w:spacing w:line="360" w:lineRule="auto"/>
              <w:ind w:firstLineChars="0"/>
              <w:rPr>
                <w:bCs/>
                <w:szCs w:val="21"/>
                <w:rFonts w:ascii="宋体" w:hAnsi="宋体" w:eastAsia="宋体"/>
              </w:rPr>
            </w:pPr>
            <w:r>
              <w:rPr>
                <w:szCs w:val="21"/>
                <w:rFonts w:ascii="宋体" w:hAnsi="宋体"/>
              </w:rPr>
              <w:t xml:space="preserve">Appearance inspection: Confirm that the ground wire is well insulated and free of breakage or corrosion.</w:t>
            </w:r>
          </w:p>
          <w:p w:rsidRPr="00C44033" w:rsidR="00CD1E81" w:rsidP="00CD1E81" w:rsidRDefault="00CD1E81" w14:paraId="3FD6679E" w14:textId="1C574101">
            <w:pPr>
              <w:pStyle w:val="a8"/>
              <w:numPr>
                <w:ilvl w:val="0"/>
                <w:numId w:val="6"/>
              </w:numPr>
              <w:spacing w:line="360" w:lineRule="auto"/>
              <w:ind w:firstLineChars="0"/>
              <w:rPr>
                <w:bCs/>
                <w:szCs w:val="21"/>
                <w:rFonts w:ascii="宋体" w:hAnsi="宋体" w:eastAsia="宋体"/>
              </w:rPr>
            </w:pPr>
            <w:r>
              <w:rPr>
                <w:szCs w:val="21"/>
                <w:rFonts w:ascii="宋体" w:hAnsi="宋体"/>
              </w:rPr>
              <w:t xml:space="preserve">Ground Terminal Check: Check that the ground terminal is securely connected to the ground bar.</w:t>
            </w:r>
          </w:p>
          <w:p w:rsidRPr="00611311" w:rsidR="00BF2D0C" w:rsidP="00C44033" w:rsidRDefault="00BF2D0C" w14:paraId="3AAA4D0C" w14:textId="1D4F7AD1">
            <w:pPr>
              <w:spacing w:line="360" w:lineRule="auto"/>
              <w:ind w:firstLine="400" w:firstLineChars="200"/>
              <w:rPr>
                <w:szCs w:val="21"/>
                <w:rFonts w:ascii="宋体" w:hAnsi="宋体" w:eastAsia="宋体"/>
              </w:rPr>
            </w:pPr>
            <w:r>
              <w:rPr>
                <w:szCs w:val="21"/>
                <w:rFonts w:ascii="宋体" w:hAnsi="宋体"/>
              </w:rPr>
              <w:t xml:space="preserve">If the line has broken skin or is not firmly installed, please make rectification according to the installation manual;</w:t>
            </w:r>
          </w:p>
          <w:p w:rsidRPr="00611311" w:rsidR="00BF2D0C" w:rsidP="00C44033" w:rsidRDefault="00BF2D0C" w14:paraId="2D427AD3" w14:textId="2CAF3CF9">
            <w:pPr>
              <w:spacing w:line="360" w:lineRule="auto"/>
              <w:ind w:firstLine="400" w:firstLineChars="200"/>
              <w:rPr>
                <w:szCs w:val="21"/>
                <w:rFonts w:ascii="宋体" w:hAnsi="宋体" w:eastAsia="宋体"/>
              </w:rPr>
            </w:pPr>
            <w:r>
              <w:rPr>
                <w:szCs w:val="21"/>
                <w:rFonts w:ascii="宋体" w:hAnsi="宋体"/>
              </w:rPr>
              <w:t xml:space="preserve">If the wiring is installed properly, please contact your local aftermarket team for support.</w:t>
            </w:r>
          </w:p>
        </w:tc>
        <w:tc>
          <w:tcPr>
            <w:tcW w:w="3828" w:type="dxa"/>
          </w:tcPr>
          <w:p w:rsidRPr="00611311" w:rsidR="005D0143" w:rsidP="002B56D9" w:rsidRDefault="005D0143" w14:paraId="6A6EC3D2" w14:textId="77777777">
            <w:pPr>
              <w:pStyle w:val="a8"/>
              <w:spacing w:line="360" w:lineRule="auto"/>
              <w:ind w:firstLine="0" w:firstLineChars="0"/>
              <w:rPr>
                <w:rFonts w:ascii="宋体" w:hAnsi="宋体" w:eastAsia="宋体"/>
                <w:szCs w:val="21"/>
              </w:rPr>
            </w:pPr>
          </w:p>
        </w:tc>
      </w:tr>
    </w:tbl>
    <w:p w:rsidRPr="00611311" w:rsidR="000F3539" w:rsidRDefault="000F3539" w14:paraId="5641B6D7" w14:textId="77777777">
      <w:pPr>
        <w:rPr>
          <w:rFonts w:ascii="宋体" w:hAnsi="宋体" w:eastAsia="宋体"/>
        </w:rPr>
      </w:pPr>
    </w:p>
    <w:sectPr w:rsidRPr="00611311" w:rsidR="000F3539">
      <w:pgSz w:w="11906" w:h="16838" w:orient="portrait"/>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65F9" w:rsidP="005377C4" w:rsidRDefault="006465F9" w14:paraId="1EC67475" w14:textId="77777777">
      <w:r>
        <w:separator/>
      </w:r>
    </w:p>
  </w:endnote>
  <w:endnote w:type="continuationSeparator" w:id="0">
    <w:p w:rsidR="006465F9" w:rsidP="005377C4" w:rsidRDefault="006465F9" w14:paraId="304199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65F9" w:rsidP="005377C4" w:rsidRDefault="006465F9" w14:paraId="5BF59D98" w14:textId="77777777">
      <w:r>
        <w:separator/>
      </w:r>
    </w:p>
  </w:footnote>
  <w:footnote w:type="continuationSeparator" w:id="0">
    <w:p w:rsidR="006465F9" w:rsidP="005377C4" w:rsidRDefault="006465F9" w14:paraId="6E59DF9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58F7"/>
    <w:multiLevelType w:val="hybridMultilevel"/>
    <w:tmpl w:val="485C4DD4"/>
    <w:lvl w:ilvl="0" w:tplc="D368DEA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052B95"/>
    <w:multiLevelType w:val="hybridMultilevel"/>
    <w:tmpl w:val="DDF82434"/>
    <w:lvl w:ilvl="0" w:tplc="04090001">
      <w:start w:val="1"/>
      <w:numFmt w:val="bullet"/>
      <w:lvlText w:val=""/>
      <w:lvlJc w:val="left"/>
      <w:pPr>
        <w:ind w:left="820" w:hanging="420"/>
      </w:pPr>
      <w:rPr>
        <w:rFonts w:hint="default" w:ascii="Wingdings" w:hAnsi="Wingdings"/>
      </w:rPr>
    </w:lvl>
    <w:lvl w:ilvl="1" w:tplc="04090003" w:tentative="1">
      <w:start w:val="1"/>
      <w:numFmt w:val="bullet"/>
      <w:lvlText w:val=""/>
      <w:lvlJc w:val="left"/>
      <w:pPr>
        <w:ind w:left="1240" w:hanging="420"/>
      </w:pPr>
      <w:rPr>
        <w:rFonts w:hint="default" w:ascii="Wingdings" w:hAnsi="Wingdings"/>
      </w:rPr>
    </w:lvl>
    <w:lvl w:ilvl="2" w:tplc="04090005" w:tentative="1">
      <w:start w:val="1"/>
      <w:numFmt w:val="bullet"/>
      <w:lvlText w:val=""/>
      <w:lvlJc w:val="left"/>
      <w:pPr>
        <w:ind w:left="1660" w:hanging="420"/>
      </w:pPr>
      <w:rPr>
        <w:rFonts w:hint="default" w:ascii="Wingdings" w:hAnsi="Wingdings"/>
      </w:rPr>
    </w:lvl>
    <w:lvl w:ilvl="3" w:tplc="04090001" w:tentative="1">
      <w:start w:val="1"/>
      <w:numFmt w:val="bullet"/>
      <w:lvlText w:val=""/>
      <w:lvlJc w:val="left"/>
      <w:pPr>
        <w:ind w:left="2080" w:hanging="420"/>
      </w:pPr>
      <w:rPr>
        <w:rFonts w:hint="default" w:ascii="Wingdings" w:hAnsi="Wingdings"/>
      </w:rPr>
    </w:lvl>
    <w:lvl w:ilvl="4" w:tplc="04090003" w:tentative="1">
      <w:start w:val="1"/>
      <w:numFmt w:val="bullet"/>
      <w:lvlText w:val=""/>
      <w:lvlJc w:val="left"/>
      <w:pPr>
        <w:ind w:left="2500" w:hanging="420"/>
      </w:pPr>
      <w:rPr>
        <w:rFonts w:hint="default" w:ascii="Wingdings" w:hAnsi="Wingdings"/>
      </w:rPr>
    </w:lvl>
    <w:lvl w:ilvl="5" w:tplc="04090005" w:tentative="1">
      <w:start w:val="1"/>
      <w:numFmt w:val="bullet"/>
      <w:lvlText w:val=""/>
      <w:lvlJc w:val="left"/>
      <w:pPr>
        <w:ind w:left="2920" w:hanging="420"/>
      </w:pPr>
      <w:rPr>
        <w:rFonts w:hint="default" w:ascii="Wingdings" w:hAnsi="Wingdings"/>
      </w:rPr>
    </w:lvl>
    <w:lvl w:ilvl="6" w:tplc="04090001" w:tentative="1">
      <w:start w:val="1"/>
      <w:numFmt w:val="bullet"/>
      <w:lvlText w:val=""/>
      <w:lvlJc w:val="left"/>
      <w:pPr>
        <w:ind w:left="3340" w:hanging="420"/>
      </w:pPr>
      <w:rPr>
        <w:rFonts w:hint="default" w:ascii="Wingdings" w:hAnsi="Wingdings"/>
      </w:rPr>
    </w:lvl>
    <w:lvl w:ilvl="7" w:tplc="04090003" w:tentative="1">
      <w:start w:val="1"/>
      <w:numFmt w:val="bullet"/>
      <w:lvlText w:val=""/>
      <w:lvlJc w:val="left"/>
      <w:pPr>
        <w:ind w:left="3760" w:hanging="420"/>
      </w:pPr>
      <w:rPr>
        <w:rFonts w:hint="default" w:ascii="Wingdings" w:hAnsi="Wingdings"/>
      </w:rPr>
    </w:lvl>
    <w:lvl w:ilvl="8" w:tplc="04090005" w:tentative="1">
      <w:start w:val="1"/>
      <w:numFmt w:val="bullet"/>
      <w:lvlText w:val=""/>
      <w:lvlJc w:val="left"/>
      <w:pPr>
        <w:ind w:left="4180" w:hanging="420"/>
      </w:pPr>
      <w:rPr>
        <w:rFonts w:hint="default" w:ascii="Wingdings" w:hAnsi="Wingdings"/>
      </w:rPr>
    </w:lvl>
  </w:abstractNum>
  <w:abstractNum w:abstractNumId="2" w15:restartNumberingAfterBreak="0">
    <w:nsid w:val="14C03E98"/>
    <w:multiLevelType w:val="multilevel"/>
    <w:tmpl w:val="14C03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AB2FC2"/>
    <w:multiLevelType w:val="hybridMultilevel"/>
    <w:tmpl w:val="C7080CC2"/>
    <w:lvl w:ilvl="0" w:tplc="04090001">
      <w:start w:val="1"/>
      <w:numFmt w:val="bullet"/>
      <w:lvlText w:val=""/>
      <w:lvlJc w:val="left"/>
      <w:pPr>
        <w:ind w:left="780" w:hanging="420"/>
      </w:pPr>
      <w:rPr>
        <w:rFonts w:hint="default" w:ascii="Wingdings" w:hAnsi="Wingdings"/>
      </w:rPr>
    </w:lvl>
    <w:lvl w:ilvl="1" w:tplc="04090003" w:tentative="1">
      <w:start w:val="1"/>
      <w:numFmt w:val="bullet"/>
      <w:lvlText w:val=""/>
      <w:lvlJc w:val="left"/>
      <w:pPr>
        <w:ind w:left="1200" w:hanging="420"/>
      </w:pPr>
      <w:rPr>
        <w:rFonts w:hint="default" w:ascii="Wingdings" w:hAnsi="Wingdings"/>
      </w:rPr>
    </w:lvl>
    <w:lvl w:ilvl="2" w:tplc="04090005" w:tentative="1">
      <w:start w:val="1"/>
      <w:numFmt w:val="bullet"/>
      <w:lvlText w:val=""/>
      <w:lvlJc w:val="left"/>
      <w:pPr>
        <w:ind w:left="1620" w:hanging="420"/>
      </w:pPr>
      <w:rPr>
        <w:rFonts w:hint="default" w:ascii="Wingdings" w:hAnsi="Wingdings"/>
      </w:rPr>
    </w:lvl>
    <w:lvl w:ilvl="3" w:tplc="04090001" w:tentative="1">
      <w:start w:val="1"/>
      <w:numFmt w:val="bullet"/>
      <w:lvlText w:val=""/>
      <w:lvlJc w:val="left"/>
      <w:pPr>
        <w:ind w:left="2040" w:hanging="420"/>
      </w:pPr>
      <w:rPr>
        <w:rFonts w:hint="default" w:ascii="Wingdings" w:hAnsi="Wingdings"/>
      </w:rPr>
    </w:lvl>
    <w:lvl w:ilvl="4" w:tplc="04090003" w:tentative="1">
      <w:start w:val="1"/>
      <w:numFmt w:val="bullet"/>
      <w:lvlText w:val=""/>
      <w:lvlJc w:val="left"/>
      <w:pPr>
        <w:ind w:left="2460" w:hanging="420"/>
      </w:pPr>
      <w:rPr>
        <w:rFonts w:hint="default" w:ascii="Wingdings" w:hAnsi="Wingdings"/>
      </w:rPr>
    </w:lvl>
    <w:lvl w:ilvl="5" w:tplc="04090005" w:tentative="1">
      <w:start w:val="1"/>
      <w:numFmt w:val="bullet"/>
      <w:lvlText w:val=""/>
      <w:lvlJc w:val="left"/>
      <w:pPr>
        <w:ind w:left="2880" w:hanging="420"/>
      </w:pPr>
      <w:rPr>
        <w:rFonts w:hint="default" w:ascii="Wingdings" w:hAnsi="Wingdings"/>
      </w:rPr>
    </w:lvl>
    <w:lvl w:ilvl="6" w:tplc="04090001" w:tentative="1">
      <w:start w:val="1"/>
      <w:numFmt w:val="bullet"/>
      <w:lvlText w:val=""/>
      <w:lvlJc w:val="left"/>
      <w:pPr>
        <w:ind w:left="3300" w:hanging="420"/>
      </w:pPr>
      <w:rPr>
        <w:rFonts w:hint="default" w:ascii="Wingdings" w:hAnsi="Wingdings"/>
      </w:rPr>
    </w:lvl>
    <w:lvl w:ilvl="7" w:tplc="04090003" w:tentative="1">
      <w:start w:val="1"/>
      <w:numFmt w:val="bullet"/>
      <w:lvlText w:val=""/>
      <w:lvlJc w:val="left"/>
      <w:pPr>
        <w:ind w:left="3720" w:hanging="420"/>
      </w:pPr>
      <w:rPr>
        <w:rFonts w:hint="default" w:ascii="Wingdings" w:hAnsi="Wingdings"/>
      </w:rPr>
    </w:lvl>
    <w:lvl w:ilvl="8" w:tplc="04090005" w:tentative="1">
      <w:start w:val="1"/>
      <w:numFmt w:val="bullet"/>
      <w:lvlText w:val=""/>
      <w:lvlJc w:val="left"/>
      <w:pPr>
        <w:ind w:left="4140" w:hanging="420"/>
      </w:pPr>
      <w:rPr>
        <w:rFonts w:hint="default" w:ascii="Wingdings" w:hAnsi="Wingdings"/>
      </w:rPr>
    </w:lvl>
  </w:abstractNum>
  <w:abstractNum w:abstractNumId="4" w15:restartNumberingAfterBreak="0">
    <w:nsid w:val="285869DC"/>
    <w:multiLevelType w:val="hybridMultilevel"/>
    <w:tmpl w:val="E05CEA90"/>
    <w:lvl w:ilvl="0" w:tplc="6F6C0E88">
      <w:start w:val="3"/>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15:restartNumberingAfterBreak="0">
    <w:nsid w:val="2D02503B"/>
    <w:multiLevelType w:val="hybridMultilevel"/>
    <w:tmpl w:val="8DDE1C2A"/>
    <w:lvl w:ilvl="0" w:tplc="D368DEA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F8024A"/>
    <w:multiLevelType w:val="hybridMultilevel"/>
    <w:tmpl w:val="67E2E48A"/>
    <w:lvl w:ilvl="0" w:tplc="D368DEA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trackRevisions w:val="false"/>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39"/>
    <w:rsid w:val="000F3539"/>
    <w:rsid w:val="00200948"/>
    <w:rsid w:val="0022128D"/>
    <w:rsid w:val="002B56D9"/>
    <w:rsid w:val="0042718B"/>
    <w:rsid w:val="00447ABF"/>
    <w:rsid w:val="0047314F"/>
    <w:rsid w:val="004D4298"/>
    <w:rsid w:val="005377C4"/>
    <w:rsid w:val="005D0143"/>
    <w:rsid w:val="005F2C3D"/>
    <w:rsid w:val="00611311"/>
    <w:rsid w:val="006215CE"/>
    <w:rsid w:val="006465F9"/>
    <w:rsid w:val="0088020B"/>
    <w:rsid w:val="00A0740A"/>
    <w:rsid w:val="00BF2D0C"/>
    <w:rsid w:val="00C44033"/>
    <w:rsid w:val="00CD1E81"/>
    <w:rsid w:val="00E91C9E"/>
    <w:rsid w:val="00F02E11"/>
    <w:rsid w:val="00F22787"/>
    <w:rsid w:val="00F523C8"/>
    <w:rsid w:val="00F55DF7"/>
    <w:rsid w:val="7072B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28A26"/>
  <w15:chartTrackingRefBased/>
  <w15:docId w15:val="{E8D1A70C-B3E0-44D1-9738-39B36369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5377C4"/>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5377C4"/>
    <w:pPr>
      <w:pBdr>
        <w:bottom w:val="single" w:color="auto" w:sz="6" w:space="1"/>
      </w:pBdr>
      <w:tabs>
        <w:tab w:val="center" w:pos="4153"/>
        <w:tab w:val="right" w:pos="8306"/>
      </w:tabs>
      <w:snapToGrid w:val="0"/>
      <w:jc w:val="center"/>
    </w:pPr>
    <w:rPr>
      <w:sz w:val="18"/>
      <w:szCs w:val="18"/>
    </w:rPr>
  </w:style>
  <w:style w:type="character" w:styleId="a4" w:customStyle="1">
    <w:name w:val="页眉 字符"/>
    <w:basedOn w:val="a0"/>
    <w:link w:val="a3"/>
    <w:uiPriority w:val="99"/>
    <w:rsid w:val="005377C4"/>
    <w:rPr>
      <w:sz w:val="18"/>
      <w:szCs w:val="18"/>
    </w:rPr>
  </w:style>
  <w:style w:type="paragraph" w:styleId="a5">
    <w:name w:val="footer"/>
    <w:basedOn w:val="a"/>
    <w:link w:val="a6"/>
    <w:uiPriority w:val="99"/>
    <w:unhideWhenUsed/>
    <w:rsid w:val="005377C4"/>
    <w:pPr>
      <w:tabs>
        <w:tab w:val="center" w:pos="4153"/>
        <w:tab w:val="right" w:pos="8306"/>
      </w:tabs>
      <w:snapToGrid w:val="0"/>
      <w:jc w:val="left"/>
    </w:pPr>
    <w:rPr>
      <w:sz w:val="18"/>
      <w:szCs w:val="18"/>
    </w:rPr>
  </w:style>
  <w:style w:type="character" w:styleId="a6" w:customStyle="1">
    <w:name w:val="页脚 字符"/>
    <w:basedOn w:val="a0"/>
    <w:link w:val="a5"/>
    <w:uiPriority w:val="99"/>
    <w:rsid w:val="005377C4"/>
    <w:rPr>
      <w:sz w:val="18"/>
      <w:szCs w:val="18"/>
    </w:rPr>
  </w:style>
  <w:style w:type="table" w:styleId="a7">
    <w:name w:val="Table Grid"/>
    <w:basedOn w:val="a1"/>
    <w:uiPriority w:val="39"/>
    <w:rsid w:val="005377C4"/>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8">
    <w:name w:val="List Paragraph"/>
    <w:basedOn w:val="a"/>
    <w:uiPriority w:val="34"/>
    <w:qFormat/>
    <w:rsid w:val="005377C4"/>
    <w:pPr>
      <w:ind w:firstLine="420" w:firstLineChars="200"/>
    </w:pPr>
  </w:style>
  <w:style w:type="character" w:styleId="a9">
    <w:name w:val="Hyperlink"/>
    <w:basedOn w:val="a0"/>
    <w:uiPriority w:val="99"/>
    <w:unhideWhenUsed/>
    <w:rsid w:val="005377C4"/>
    <w:rPr>
      <w:color w:val="0563C1" w:themeColor="hyperlink"/>
      <w:u w:val="single"/>
    </w:rPr>
  </w:style>
  <w:style w:type="character" w:styleId="aa">
    <w:name w:val="Strong"/>
    <w:basedOn w:val="a0"/>
    <w:uiPriority w:val="22"/>
    <w:qFormat/>
    <w:rsid w:val="00200948"/>
    <w:rPr>
      <w:b/>
      <w:bCs/>
    </w:rPr>
  </w:style>
  <w:style w:type="character" w:styleId="ab">
    <w:name w:val="annotation reference"/>
    <w:basedOn w:val="a0"/>
    <w:uiPriority w:val="99"/>
    <w:semiHidden/>
    <w:unhideWhenUsed/>
    <w:rsid w:val="005F2C3D"/>
    <w:rPr>
      <w:sz w:val="21"/>
      <w:szCs w:val="21"/>
    </w:rPr>
  </w:style>
  <w:style w:type="paragraph" w:styleId="ac">
    <w:name w:val="annotation text"/>
    <w:basedOn w:val="a"/>
    <w:link w:val="ad"/>
    <w:uiPriority w:val="99"/>
    <w:semiHidden/>
    <w:unhideWhenUsed/>
    <w:rsid w:val="005F2C3D"/>
    <w:pPr>
      <w:jc w:val="left"/>
    </w:pPr>
  </w:style>
  <w:style w:type="character" w:styleId="ad" w:customStyle="1">
    <w:name w:val="批注文字 字符"/>
    <w:basedOn w:val="a0"/>
    <w:link w:val="ac"/>
    <w:uiPriority w:val="99"/>
    <w:semiHidden/>
    <w:rsid w:val="005F2C3D"/>
  </w:style>
  <w:style w:type="paragraph" w:styleId="ae">
    <w:name w:val="annotation subject"/>
    <w:basedOn w:val="ac"/>
    <w:next w:val="ac"/>
    <w:link w:val="af"/>
    <w:uiPriority w:val="99"/>
    <w:semiHidden/>
    <w:unhideWhenUsed/>
    <w:rsid w:val="005F2C3D"/>
    <w:rPr>
      <w:b/>
      <w:bCs/>
    </w:rPr>
  </w:style>
  <w:style w:type="character" w:styleId="af" w:customStyle="1">
    <w:name w:val="批注主题 字符"/>
    <w:basedOn w:val="ad"/>
    <w:link w:val="ae"/>
    <w:uiPriority w:val="99"/>
    <w:semiHidden/>
    <w:rsid w:val="005F2C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81394">
      <w:bodyDiv w:val="1"/>
      <w:marLeft w:val="0"/>
      <w:marRight w:val="0"/>
      <w:marTop w:val="0"/>
      <w:marBottom w:val="0"/>
      <w:divBdr>
        <w:top w:val="none" w:sz="0" w:space="0" w:color="auto"/>
        <w:left w:val="none" w:sz="0" w:space="0" w:color="auto"/>
        <w:bottom w:val="none" w:sz="0" w:space="0" w:color="auto"/>
        <w:right w:val="none" w:sz="0" w:space="0" w:color="auto"/>
      </w:divBdr>
      <w:divsChild>
        <w:div w:id="1292050019">
          <w:marLeft w:val="0"/>
          <w:marRight w:val="0"/>
          <w:marTop w:val="0"/>
          <w:marBottom w:val="0"/>
          <w:divBdr>
            <w:top w:val="none" w:sz="0" w:space="0" w:color="auto"/>
            <w:left w:val="none" w:sz="0" w:space="0" w:color="auto"/>
            <w:bottom w:val="none" w:sz="0" w:space="0" w:color="auto"/>
            <w:right w:val="none" w:sz="0" w:space="0" w:color="auto"/>
          </w:divBdr>
        </w:div>
      </w:divsChild>
    </w:div>
    <w:div w:id="275675781">
      <w:bodyDiv w:val="1"/>
      <w:marLeft w:val="0"/>
      <w:marRight w:val="0"/>
      <w:marTop w:val="0"/>
      <w:marBottom w:val="0"/>
      <w:divBdr>
        <w:top w:val="none" w:sz="0" w:space="0" w:color="auto"/>
        <w:left w:val="none" w:sz="0" w:space="0" w:color="auto"/>
        <w:bottom w:val="none" w:sz="0" w:space="0" w:color="auto"/>
        <w:right w:val="none" w:sz="0" w:space="0" w:color="auto"/>
      </w:divBdr>
    </w:div>
    <w:div w:id="1229995521">
      <w:bodyDiv w:val="1"/>
      <w:marLeft w:val="0"/>
      <w:marRight w:val="0"/>
      <w:marTop w:val="0"/>
      <w:marBottom w:val="0"/>
      <w:divBdr>
        <w:top w:val="none" w:sz="0" w:space="0" w:color="auto"/>
        <w:left w:val="none" w:sz="0" w:space="0" w:color="auto"/>
        <w:bottom w:val="none" w:sz="0" w:space="0" w:color="auto"/>
        <w:right w:val="none" w:sz="0" w:space="0" w:color="auto"/>
      </w:divBdr>
    </w:div>
    <w:div w:id="2047410581">
      <w:bodyDiv w:val="1"/>
      <w:marLeft w:val="0"/>
      <w:marRight w:val="0"/>
      <w:marTop w:val="0"/>
      <w:marBottom w:val="0"/>
      <w:divBdr>
        <w:top w:val="none" w:sz="0" w:space="0" w:color="auto"/>
        <w:left w:val="none" w:sz="0" w:space="0" w:color="auto"/>
        <w:bottom w:val="none" w:sz="0" w:space="0" w:color="auto"/>
        <w:right w:val="none" w:sz="0" w:space="0" w:color="auto"/>
      </w:divBdr>
      <w:divsChild>
        <w:div w:id="144930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李俊哲</dc:creator>
  <keywords/>
  <dc:description/>
  <lastModifiedBy>Usuário Convidado</lastModifiedBy>
  <revision>3</revision>
  <dcterms:created xsi:type="dcterms:W3CDTF">2026-03-11T01:41:00.0000000Z</dcterms:created>
  <dcterms:modified xsi:type="dcterms:W3CDTF">2026-06-12T14:52:49.6048892Z</dcterms:modified>
</coreProperties>
</file>