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175B" w14:textId="56C905DA" w:rsidR="001F02B9" w:rsidRPr="004605EB" w:rsidRDefault="004605EB">
      <w:pPr>
        <w:jc w:val="center"/>
        <w:rPr>
          <w:b/>
          <w:bCs/>
          <w:sz w:val="44"/>
          <w:szCs w:val="44"/>
          <w:rFonts w:ascii="宋体" w:eastAsia="宋体" w:hAnsi="宋体"/>
        </w:rPr>
      </w:pPr>
      <w:bookmarkStart w:id="0" w:name="OLE_LINK2"/>
      <w:r>
        <w:rPr>
          <w:b/>
          <w:bCs/>
          <w:sz w:val="44"/>
          <w:szCs w:val="44"/>
          <w:rFonts w:ascii="宋体" w:hAnsi="宋体"/>
        </w:rPr>
        <w:t xml:space="preserve">High-volt Battery Precharge or Relay Fault Handling SOP</w:t>
      </w:r>
    </w:p>
    <w:bookmarkEnd w:id="0"/>
    <w:p w14:paraId="14F3DEA5" w14:textId="77777777" w:rsidR="001F02B9" w:rsidRDefault="001F02B9">
      <w:pPr>
        <w:jc w:val="center"/>
        <w:rPr>
          <w:rFonts w:ascii="宋体" w:eastAsia="宋体" w:hAnsi="宋体"/>
          <w:sz w:val="36"/>
          <w:szCs w:val="36"/>
        </w:rPr>
      </w:pPr>
    </w:p>
    <w:p w14:paraId="6AB11896" w14:textId="7672E5FC" w:rsidR="001F02B9" w:rsidRDefault="00D54AB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rFonts w:ascii="宋体" w:hAnsi="宋体"/>
        </w:rPr>
        <w:t xml:space="preserve">Relay Fault/Precharge Fault</w:t>
      </w:r>
    </w:p>
    <w:p w14:paraId="2709189F" w14:textId="4FFB88A3" w:rsidR="001F02B9" w:rsidRDefault="00D54AB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rFonts w:ascii="宋体" w:hAnsi="宋体"/>
        </w:rPr>
        <w:t xml:space="preserve">None yet</w:t>
      </w:r>
    </w:p>
    <w:p w14:paraId="23025558" w14:textId="644B13A6" w:rsidR="001F02B9" w:rsidRDefault="00D54AB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phenomenon:</w:t>
      </w:r>
      <w:r>
        <w:rPr>
          <w:szCs w:val="21"/>
          <w:rFonts w:ascii="宋体" w:hAnsi="宋体"/>
        </w:rPr>
        <w:t xml:space="preserve">Battery fault light is on and cannot be discharged</w:t>
      </w:r>
    </w:p>
    <w:p w14:paraId="2B90D2AF" w14:textId="09E2784F" w:rsidR="001F02B9" w:rsidRDefault="00D54AB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Cause of failure:</w:t>
      </w:r>
      <w:r>
        <w:rPr>
          <w:szCs w:val="21"/>
          <w:rFonts w:ascii="宋体" w:hAnsi="宋体"/>
        </w:rPr>
        <w:t xml:space="preserve">Precharge circuit fault (relay fault)</w:t>
      </w:r>
    </w:p>
    <w:p w14:paraId="399665D0" w14:textId="77777777" w:rsidR="00737BFA" w:rsidRPr="00737BFA" w:rsidRDefault="00D54AB5">
      <w:pPr>
        <w:pStyle w:val="a8"/>
        <w:numPr>
          <w:ilvl w:val="0"/>
          <w:numId w:val="1"/>
        </w:numPr>
        <w:spacing w:line="360" w:lineRule="auto"/>
        <w:ind w:firstLineChars="0"/>
        <w:rPr>
          <w:szCs w:val="21"/>
          <w:rFonts w:ascii="宋体" w:eastAsia="宋体" w:hAnsi="宋体"/>
        </w:rPr>
      </w:pPr>
      <w:r>
        <w:rPr>
          <w:b/>
          <w:bCs/>
          <w:szCs w:val="21"/>
          <w:rFonts w:ascii="宋体" w:hAnsi="宋体"/>
        </w:rPr>
        <w:t xml:space="preserve">Applicable models:</w:t>
      </w:r>
    </w:p>
    <w:p w14:paraId="7832D725" w14:textId="51749A6E" w:rsidR="00737BFA" w:rsidRDefault="00737BFA" w:rsidP="00737BFA">
      <w:pPr>
        <w:pStyle w:val="a8"/>
        <w:numPr>
          <w:ilvl w:val="0"/>
          <w:numId w:val="7"/>
        </w:numPr>
        <w:spacing w:line="360" w:lineRule="auto"/>
        <w:ind w:firstLineChars="0"/>
        <w:rPr>
          <w:szCs w:val="21"/>
          <w:rFonts w:ascii="宋体" w:eastAsia="宋体" w:hAnsi="宋体"/>
        </w:rPr>
      </w:pPr>
      <w:r>
        <w:rPr>
          <w:szCs w:val="21"/>
          <w:rFonts w:ascii="宋体" w:hAnsi="宋体"/>
        </w:rPr>
        <w:t xml:space="preserve">BHF-S</w:t>
      </w:r>
    </w:p>
    <w:p w14:paraId="6DEF4283" w14:textId="459ECD32" w:rsidR="001F02B9" w:rsidRDefault="004605EB" w:rsidP="00737BFA">
      <w:pPr>
        <w:pStyle w:val="a8"/>
        <w:numPr>
          <w:ilvl w:val="0"/>
          <w:numId w:val="7"/>
        </w:numPr>
        <w:spacing w:line="360" w:lineRule="auto"/>
        <w:ind w:firstLineChars="0"/>
        <w:rPr>
          <w:szCs w:val="21"/>
          <w:rFonts w:ascii="宋体" w:eastAsia="宋体" w:hAnsi="宋体"/>
        </w:rPr>
      </w:pPr>
      <w:r>
        <w:rPr>
          <w:szCs w:val="21"/>
          <w:rFonts w:ascii="宋体" w:hAnsi="宋体"/>
        </w:rPr>
        <w:t xml:space="preserve">BHF-G</w:t>
      </w:r>
    </w:p>
    <w:p w14:paraId="0ED78B9C" w14:textId="77777777" w:rsidR="001F02B9" w:rsidRDefault="00D54AB5">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ook w:val="04A0" w:firstRow="1" w:lastRow="0" w:firstColumn="1" w:lastColumn="0" w:noHBand="0" w:noVBand="1"/>
      </w:tblPr>
      <w:tblGrid>
        <w:gridCol w:w="1135"/>
        <w:gridCol w:w="4782"/>
        <w:gridCol w:w="3156"/>
      </w:tblGrid>
      <w:tr w:rsidR="001F02B9" w14:paraId="508584AB" w14:textId="77777777">
        <w:tc>
          <w:tcPr>
            <w:tcW w:w="1135" w:type="dxa"/>
          </w:tcPr>
          <w:p w14:paraId="7E13A86C" w14:textId="77777777" w:rsidR="001F02B9" w:rsidRDefault="00D54AB5">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4782" w:type="dxa"/>
          </w:tcPr>
          <w:p w14:paraId="533145BF" w14:textId="77777777" w:rsidR="001F02B9" w:rsidRDefault="00D54AB5">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3156" w:type="dxa"/>
          </w:tcPr>
          <w:p w14:paraId="244D9CCF" w14:textId="77777777" w:rsidR="001F02B9" w:rsidRDefault="00D54AB5">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1F02B9" w14:paraId="3B245593" w14:textId="77777777">
        <w:tc>
          <w:tcPr>
            <w:tcW w:w="1135" w:type="dxa"/>
          </w:tcPr>
          <w:p w14:paraId="2D3F7B4C" w14:textId="1ACCE1B1" w:rsidR="001F02B9" w:rsidRPr="00E00164" w:rsidRDefault="00E00164">
            <w:pPr>
              <w:pStyle w:val="a8"/>
              <w:spacing w:line="360" w:lineRule="auto"/>
              <w:ind w:firstLineChars="0" w:firstLine="0"/>
              <w:rPr>
                <w:szCs w:val="21"/>
                <w:rFonts w:ascii="宋体" w:eastAsia="宋体" w:hAnsi="宋体"/>
              </w:rPr>
            </w:pPr>
            <w:r>
              <w:rPr>
                <w:szCs w:val="21"/>
                <w:rFonts w:ascii="宋体" w:hAnsi="宋体"/>
              </w:rPr>
              <w:t xml:space="preserve">Step1</w:t>
            </w:r>
          </w:p>
        </w:tc>
        <w:tc>
          <w:tcPr>
            <w:tcW w:w="4782" w:type="dxa"/>
          </w:tcPr>
          <w:p w14:paraId="0B1725F1" w14:textId="7D8F121E" w:rsidR="00737BFA" w:rsidRPr="00737BFA" w:rsidRDefault="00737BFA" w:rsidP="00737BFA">
            <w:pPr>
              <w:pStyle w:val="a8"/>
              <w:spacing w:line="360" w:lineRule="auto"/>
              <w:rPr>
                <w:szCs w:val="21"/>
                <w:rFonts w:ascii="宋体" w:eastAsia="宋体" w:hAnsi="宋体"/>
              </w:rPr>
            </w:pPr>
            <w:r>
              <w:rPr>
                <w:szCs w:val="21"/>
                <w:rFonts w:ascii="宋体" w:hAnsi="宋体"/>
              </w:rPr>
              <w:t xml:space="preserve">Check whether the startup sequence is standardized-first turn on the inverter and then turn on the high-voltage battery, which can effectively reduce the frequency of reporting pre-charge faults; Otherwise, the precharge circuit of the high-voltage battery may be interfered by the current accumulated by the capacitor in the inverter.</w:t>
            </w:r>
          </w:p>
          <w:p w14:paraId="33D12F57" w14:textId="22A76695" w:rsidR="00737BFA" w:rsidRDefault="00443805" w:rsidP="00737BFA">
            <w:pPr>
              <w:pStyle w:val="a8"/>
              <w:spacing w:line="360" w:lineRule="auto"/>
              <w:rPr>
                <w:szCs w:val="21"/>
                <w:rFonts w:ascii="宋体" w:eastAsia="宋体" w:hAnsi="宋体"/>
              </w:rPr>
            </w:pPr>
            <w:r>
              <w:rPr>
                <w:szCs w:val="21"/>
                <w:rFonts w:ascii="宋体" w:hAnsi="宋体"/>
              </w:rPr>
              <w:t xml:space="preserve">Turn off the battery and turn off the air opening of the battery. After waiting for 10s, close the air opening of the battery again, and turn it on to observe whether the battery can start normally.</w:t>
            </w:r>
          </w:p>
          <w:p w14:paraId="5A27C06E" w14:textId="420E25E9" w:rsidR="00737BFA" w:rsidRDefault="00737BFA" w:rsidP="00737BFA">
            <w:pPr>
              <w:spacing w:line="360" w:lineRule="auto"/>
              <w:ind w:firstLineChars="200" w:firstLine="420"/>
              <w:rPr>
                <w:szCs w:val="21"/>
                <w:rFonts w:ascii="宋体" w:eastAsia="宋体" w:hAnsi="宋体"/>
              </w:rPr>
            </w:pPr>
            <w:r>
              <w:rPr>
                <w:szCs w:val="21"/>
                <w:rFonts w:ascii="宋体" w:hAnsi="宋体"/>
              </w:rPr>
              <w:t xml:space="preserve">If it can start normally, it means that the fault is clear and can continue to use.</w:t>
            </w:r>
          </w:p>
          <w:p w14:paraId="7769F104" w14:textId="11382EB7" w:rsidR="001F02B9" w:rsidRPr="00737BFA" w:rsidRDefault="00737BFA" w:rsidP="00737BFA">
            <w:pPr>
              <w:spacing w:line="360" w:lineRule="auto"/>
              <w:ind w:firstLineChars="200" w:firstLine="420"/>
              <w:rPr>
                <w:szCs w:val="21"/>
                <w:rFonts w:ascii="宋体" w:eastAsia="宋体" w:hAnsi="宋体"/>
              </w:rPr>
            </w:pPr>
            <w:r>
              <w:rPr>
                <w:szCs w:val="21"/>
                <w:rFonts w:ascii="宋体" w:hAnsi="宋体"/>
              </w:rPr>
              <w:t xml:space="preserve">If it does not start properly, please contact the local after-sales service team.</w:t>
            </w:r>
          </w:p>
        </w:tc>
        <w:tc>
          <w:tcPr>
            <w:tcW w:w="3156" w:type="dxa"/>
          </w:tcPr>
          <w:p w14:paraId="36502190" w14:textId="77777777" w:rsidR="001F02B9" w:rsidRPr="00E00164" w:rsidRDefault="001F02B9">
            <w:pPr>
              <w:pStyle w:val="a8"/>
              <w:spacing w:line="360" w:lineRule="auto"/>
              <w:ind w:firstLineChars="0" w:firstLine="0"/>
              <w:rPr>
                <w:rFonts w:ascii="宋体" w:eastAsia="宋体" w:hAnsi="宋体"/>
                <w:szCs w:val="21"/>
              </w:rPr>
            </w:pPr>
          </w:p>
        </w:tc>
      </w:tr>
    </w:tbl>
    <w:p w14:paraId="1CC63377" w14:textId="77777777" w:rsidR="001F02B9" w:rsidRDefault="001F02B9" w:rsidP="0028761C">
      <w:pPr>
        <w:rPr>
          <w:rFonts w:ascii="宋体" w:eastAsia="宋体" w:hAnsi="宋体"/>
          <w:sz w:val="28"/>
          <w:szCs w:val="28"/>
        </w:rPr>
      </w:pPr>
    </w:p>
    <w:sectPr w:rsidR="001F02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1057" w14:textId="77777777" w:rsidR="00435D20" w:rsidRDefault="00435D20" w:rsidP="009C203D">
      <w:r>
        <w:separator/>
      </w:r>
    </w:p>
  </w:endnote>
  <w:endnote w:type="continuationSeparator" w:id="0">
    <w:p w14:paraId="71CAE919" w14:textId="77777777" w:rsidR="00435D20" w:rsidRDefault="00435D20" w:rsidP="009C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9B3F" w14:textId="77777777" w:rsidR="00435D20" w:rsidRDefault="00435D20" w:rsidP="009C203D">
      <w:r>
        <w:separator/>
      </w:r>
    </w:p>
  </w:footnote>
  <w:footnote w:type="continuationSeparator" w:id="0">
    <w:p w14:paraId="319D0502" w14:textId="77777777" w:rsidR="00435D20" w:rsidRDefault="00435D20" w:rsidP="009C2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0B8"/>
    <w:multiLevelType w:val="hybridMultilevel"/>
    <w:tmpl w:val="181AECA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13DF3"/>
    <w:rsid w:val="001F02B9"/>
    <w:rsid w:val="0028761C"/>
    <w:rsid w:val="002B3A09"/>
    <w:rsid w:val="00435D20"/>
    <w:rsid w:val="00443805"/>
    <w:rsid w:val="004450AB"/>
    <w:rsid w:val="004605EB"/>
    <w:rsid w:val="005A543D"/>
    <w:rsid w:val="00737BFA"/>
    <w:rsid w:val="00767EF4"/>
    <w:rsid w:val="008A013A"/>
    <w:rsid w:val="008C4DFD"/>
    <w:rsid w:val="009C203D"/>
    <w:rsid w:val="00A3398D"/>
    <w:rsid w:val="00AE50D7"/>
    <w:rsid w:val="00B35014"/>
    <w:rsid w:val="00BD1269"/>
    <w:rsid w:val="00BD446C"/>
    <w:rsid w:val="00C545E4"/>
    <w:rsid w:val="00D54AB5"/>
    <w:rsid w:val="00E00164"/>
    <w:rsid w:val="00F17F39"/>
    <w:rsid w:val="00FA52CC"/>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48A81"/>
  <w15:docId w15:val="{5E7CF92D-129B-4B27-A326-717409AA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5</cp:revision>
  <dcterms:created xsi:type="dcterms:W3CDTF">2026-04-16T10:25:00Z</dcterms:created>
  <dcterms:modified xsi:type="dcterms:W3CDTF">2026-04-26T12:22:00Z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