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05E9" w14:textId="77777777" w:rsidR="008E6614" w:rsidRDefault="001E57D4">
      <w:pPr>
        <w:jc w:val="center"/>
        <w:rPr>
          <w:sz w:val="36"/>
          <w:szCs w:val="36"/>
          <w:rFonts w:ascii="宋体" w:eastAsia="宋体" w:hAnsi="宋体"/>
        </w:rPr>
      </w:pPr>
      <w:r>
        <w:rPr>
          <w:b/>
          <w:bCs/>
          <w:sz w:val="44"/>
          <w:szCs w:val="44"/>
          <w:rFonts w:ascii="宋体" w:hAnsi="宋体"/>
        </w:rPr>
        <w:t xml:space="preserve">Low-volt Battery Cell’s Large Voltage Difference Protection Treatment SOP</w:t>
      </w:r>
    </w:p>
    <w:p w14:paraId="422B92A9" w14:textId="77777777" w:rsidR="0018274B" w:rsidRPr="0018274B" w:rsidRDefault="0018274B" w:rsidP="0018274B">
      <w:pPr>
        <w:pStyle w:val="a8"/>
        <w:spacing w:line="360" w:lineRule="auto"/>
        <w:ind w:left="360" w:firstLineChars="0" w:firstLine="0"/>
        <w:rPr>
          <w:rFonts w:ascii="宋体" w:eastAsia="宋体" w:hAnsi="宋体" w:hint="eastAsia"/>
          <w:szCs w:val="21"/>
        </w:rPr>
      </w:pPr>
    </w:p>
    <w:p w14:paraId="75E7897E" w14:textId="400CB293" w:rsidR="008E6614" w:rsidRDefault="001E57D4">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Name:</w:t>
      </w:r>
      <w:r>
        <w:rPr>
          <w:szCs w:val="21"/>
          <w:rFonts w:ascii="宋体" w:hAnsi="宋体"/>
        </w:rPr>
        <w:t xml:space="preserve">Large voltage difference of low-voltage battery cell</w:t>
      </w:r>
    </w:p>
    <w:p w14:paraId="4E929C69" w14:textId="77777777" w:rsidR="008E6614" w:rsidRDefault="001E57D4">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code:</w:t>
      </w:r>
      <w:r>
        <w:rPr>
          <w:szCs w:val="21"/>
          <w:rFonts w:ascii="宋体" w:hAnsi="宋体"/>
        </w:rPr>
        <w:t xml:space="preserve">None yet</w:t>
      </w:r>
      <w:r>
        <w:rPr>
          <w:szCs w:val="21"/>
          <w:rFonts w:ascii="宋体" w:hAnsi="宋体"/>
        </w:rPr>
        <w:t xml:space="preserve"> </w:t>
      </w:r>
    </w:p>
    <w:p w14:paraId="698748E0" w14:textId="77777777" w:rsidR="008E6614" w:rsidRDefault="001E57D4">
      <w:pPr>
        <w:pStyle w:val="a8"/>
        <w:numPr>
          <w:ilvl w:val="0"/>
          <w:numId w:val="1"/>
        </w:numPr>
        <w:spacing w:line="360" w:lineRule="auto"/>
        <w:ind w:firstLineChars="0"/>
        <w:rPr>
          <w:szCs w:val="21"/>
          <w:rFonts w:ascii="宋体" w:eastAsia="宋体" w:hAnsi="宋体"/>
        </w:rPr>
      </w:pPr>
      <w:r>
        <w:rPr>
          <w:b/>
          <w:bCs/>
          <w:szCs w:val="21"/>
          <w:rFonts w:ascii="宋体" w:hAnsi="宋体"/>
        </w:rPr>
        <w:t xml:space="preserve">Fault phenomenon:</w:t>
      </w:r>
    </w:p>
    <w:p w14:paraId="0603A653" w14:textId="48484FEA" w:rsidR="008E6614" w:rsidRDefault="001E57D4">
      <w:pPr>
        <w:pStyle w:val="a8"/>
        <w:numPr>
          <w:ilvl w:val="0"/>
          <w:numId w:val="2"/>
        </w:numPr>
        <w:spacing w:line="360" w:lineRule="auto"/>
        <w:ind w:firstLine="420"/>
        <w:rPr>
          <w:szCs w:val="21"/>
          <w:rFonts w:ascii="宋体" w:eastAsia="宋体" w:hAnsi="宋体"/>
        </w:rPr>
      </w:pPr>
      <w:r>
        <w:rPr>
          <w:szCs w:val="21"/>
          <w:rFonts w:ascii="宋体" w:hAnsi="宋体"/>
        </w:rPr>
        <w:t xml:space="preserve">Too fast battery charge and discharge is accompanied by SoC jump</w:t>
      </w:r>
    </w:p>
    <w:p w14:paraId="551075AC" w14:textId="2D505529" w:rsidR="008E6614" w:rsidRDefault="001E57D4">
      <w:pPr>
        <w:pStyle w:val="a8"/>
        <w:numPr>
          <w:ilvl w:val="0"/>
          <w:numId w:val="2"/>
        </w:numPr>
        <w:spacing w:line="360" w:lineRule="auto"/>
        <w:ind w:firstLine="420"/>
        <w:rPr>
          <w:szCs w:val="21"/>
          <w:rFonts w:ascii="宋体" w:eastAsia="宋体" w:hAnsi="宋体"/>
        </w:rPr>
      </w:pPr>
      <w:r>
        <w:rPr>
          <w:szCs w:val="21"/>
          <w:rFonts w:ascii="宋体" w:hAnsi="宋体"/>
        </w:rPr>
        <w:t xml:space="preserve">Reduced battery capacity, reduced discharge</w:t>
      </w:r>
    </w:p>
    <w:p w14:paraId="737F382C" w14:textId="77777777" w:rsidR="008E6614" w:rsidRDefault="001E57D4">
      <w:pPr>
        <w:pStyle w:val="a8"/>
        <w:numPr>
          <w:ilvl w:val="0"/>
          <w:numId w:val="1"/>
        </w:numPr>
        <w:spacing w:line="360" w:lineRule="auto"/>
        <w:ind w:firstLineChars="0"/>
        <w:rPr>
          <w:szCs w:val="21"/>
          <w:rFonts w:ascii="宋体" w:eastAsia="宋体" w:hAnsi="宋体"/>
        </w:rPr>
      </w:pPr>
      <w:r>
        <w:rPr>
          <w:b/>
          <w:bCs/>
          <w:szCs w:val="21"/>
          <w:rFonts w:ascii="宋体" w:hAnsi="宋体"/>
        </w:rPr>
        <w:t xml:space="preserve">Cause of failure:</w:t>
      </w:r>
    </w:p>
    <w:p w14:paraId="729AF761" w14:textId="77777777" w:rsidR="008E6614" w:rsidRDefault="001E57D4">
      <w:pPr>
        <w:pStyle w:val="a8"/>
        <w:numPr>
          <w:ilvl w:val="0"/>
          <w:numId w:val="3"/>
        </w:numPr>
        <w:spacing w:line="360" w:lineRule="auto"/>
        <w:ind w:firstLine="420"/>
        <w:rPr>
          <w:szCs w:val="21"/>
          <w:rFonts w:ascii="宋体" w:eastAsia="宋体" w:hAnsi="宋体"/>
        </w:rPr>
      </w:pPr>
      <w:r>
        <w:rPr>
          <w:szCs w:val="21"/>
          <w:rFonts w:ascii="宋体" w:hAnsi="宋体"/>
        </w:rPr>
        <w:t xml:space="preserve">Mixed use of new and old batteries</w:t>
      </w:r>
    </w:p>
    <w:p w14:paraId="33092803" w14:textId="3C0E6757" w:rsidR="008E6614" w:rsidRDefault="001E57D4">
      <w:pPr>
        <w:pStyle w:val="a8"/>
        <w:numPr>
          <w:ilvl w:val="0"/>
          <w:numId w:val="1"/>
        </w:numPr>
        <w:spacing w:line="360" w:lineRule="auto"/>
        <w:ind w:firstLineChars="0"/>
        <w:rPr>
          <w:szCs w:val="21"/>
          <w:rFonts w:ascii="宋体" w:eastAsia="宋体" w:hAnsi="宋体"/>
        </w:rPr>
      </w:pPr>
      <w:r>
        <w:rPr>
          <w:szCs w:val="21"/>
          <w:b/>
          <w:bCs/>
          <w:rFonts w:ascii="宋体" w:hAnsi="宋体"/>
        </w:rPr>
        <w:t xml:space="preserve">Applicable models:</w:t>
      </w:r>
      <w:r>
        <w:rPr>
          <w:szCs w:val="21"/>
          <w:rFonts w:ascii="宋体" w:hAnsi="宋体"/>
        </w:rPr>
        <w:t xml:space="preserve">BLF 51-5</w:t>
      </w:r>
    </w:p>
    <w:p w14:paraId="0150C9C5" w14:textId="77777777" w:rsidR="008E6614" w:rsidRDefault="001E57D4">
      <w:pPr>
        <w:pStyle w:val="a8"/>
        <w:numPr>
          <w:ilvl w:val="0"/>
          <w:numId w:val="1"/>
        </w:numPr>
        <w:spacing w:line="360" w:lineRule="auto"/>
        <w:ind w:firstLineChars="0"/>
        <w:rPr>
          <w:szCs w:val="21"/>
          <w:rFonts w:ascii="宋体" w:eastAsia="宋体" w:hAnsi="宋体"/>
        </w:rPr>
      </w:pPr>
      <w:r>
        <w:rPr>
          <w:b/>
          <w:bCs/>
          <w:szCs w:val="21"/>
          <w:rFonts w:ascii="宋体" w:hAnsi="宋体"/>
        </w:rPr>
        <w:t xml:space="preserve">Troubleshooting steps:</w:t>
      </w:r>
    </w:p>
    <w:tbl>
      <w:tblPr>
        <w:tblStyle w:val="a7"/>
        <w:tblW w:w="9073" w:type="dxa"/>
        <w:tblInd w:w="-147" w:type="dxa"/>
        <w:tblLayout w:type="fixed"/>
        <w:tblLook w:val="04A0" w:firstRow="1" w:lastRow="0" w:firstColumn="1" w:lastColumn="0" w:noHBand="0" w:noVBand="1"/>
      </w:tblPr>
      <w:tblGrid>
        <w:gridCol w:w="970"/>
        <w:gridCol w:w="4559"/>
        <w:gridCol w:w="3544"/>
      </w:tblGrid>
      <w:tr w:rsidR="008E6614" w14:paraId="43D9C935" w14:textId="77777777" w:rsidTr="0018274B">
        <w:tc>
          <w:tcPr>
            <w:tcW w:w="970" w:type="dxa"/>
          </w:tcPr>
          <w:p w14:paraId="13593368" w14:textId="77777777" w:rsidR="008E6614" w:rsidRDefault="001E57D4">
            <w:pPr>
              <w:pStyle w:val="a8"/>
              <w:spacing w:line="360" w:lineRule="auto"/>
              <w:ind w:firstLineChars="0" w:firstLine="0"/>
              <w:rPr>
                <w:b/>
                <w:bCs/>
                <w:szCs w:val="21"/>
                <w:rFonts w:ascii="宋体" w:eastAsia="宋体" w:hAnsi="宋体"/>
              </w:rPr>
            </w:pPr>
            <w:r>
              <w:rPr>
                <w:b/>
                <w:bCs/>
                <w:szCs w:val="21"/>
                <w:rFonts w:ascii="宋体" w:hAnsi="宋体"/>
              </w:rPr>
              <w:t xml:space="preserve">procedure</w:t>
            </w:r>
          </w:p>
        </w:tc>
        <w:tc>
          <w:tcPr>
            <w:tcW w:w="4559" w:type="dxa"/>
          </w:tcPr>
          <w:p w14:paraId="6015D008" w14:textId="77777777" w:rsidR="008E6614" w:rsidRDefault="001E57D4">
            <w:pPr>
              <w:pStyle w:val="a8"/>
              <w:spacing w:line="360" w:lineRule="auto"/>
              <w:ind w:firstLineChars="0" w:firstLine="0"/>
              <w:rPr>
                <w:b/>
                <w:bCs/>
                <w:szCs w:val="21"/>
                <w:rFonts w:ascii="宋体" w:eastAsia="宋体" w:hAnsi="宋体"/>
              </w:rPr>
            </w:pPr>
            <w:r>
              <w:rPr>
                <w:b/>
                <w:bCs/>
                <w:szCs w:val="21"/>
                <w:rFonts w:ascii="宋体" w:hAnsi="宋体"/>
              </w:rPr>
              <w:t xml:space="preserve">Contents</w:t>
            </w:r>
          </w:p>
        </w:tc>
        <w:tc>
          <w:tcPr>
            <w:tcW w:w="3544" w:type="dxa"/>
          </w:tcPr>
          <w:p w14:paraId="3FDAB18A" w14:textId="77777777" w:rsidR="008E6614" w:rsidRDefault="001E57D4">
            <w:pPr>
              <w:pStyle w:val="a8"/>
              <w:spacing w:line="360" w:lineRule="auto"/>
              <w:ind w:firstLineChars="0" w:firstLine="0"/>
              <w:rPr>
                <w:b/>
                <w:bCs/>
                <w:szCs w:val="21"/>
                <w:rFonts w:ascii="宋体" w:eastAsia="宋体" w:hAnsi="宋体"/>
              </w:rPr>
            </w:pPr>
            <w:r>
              <w:rPr>
                <w:b/>
                <w:bCs/>
                <w:szCs w:val="21"/>
                <w:rFonts w:ascii="宋体" w:hAnsi="宋体"/>
              </w:rPr>
              <w:t xml:space="preserve">Example (picture or reference file)</w:t>
            </w:r>
          </w:p>
        </w:tc>
      </w:tr>
      <w:tr w:rsidR="008E6614" w14:paraId="39F3F337" w14:textId="77777777" w:rsidTr="0018274B">
        <w:tc>
          <w:tcPr>
            <w:tcW w:w="970" w:type="dxa"/>
          </w:tcPr>
          <w:p w14:paraId="1508DA70" w14:textId="77777777" w:rsidR="008E6614" w:rsidRDefault="001E57D4">
            <w:pPr>
              <w:pStyle w:val="a8"/>
              <w:spacing w:line="360" w:lineRule="auto"/>
              <w:ind w:firstLineChars="0" w:firstLine="0"/>
              <w:rPr>
                <w:color w:val="70AD47" w:themeColor="accent6"/>
                <w:szCs w:val="21"/>
                <w:rFonts w:ascii="宋体" w:eastAsia="宋体" w:hAnsi="宋体"/>
              </w:rPr>
            </w:pPr>
            <w:r>
              <w:rPr>
                <w:szCs w:val="21"/>
                <w:rFonts w:ascii="宋体" w:hAnsi="宋体"/>
              </w:rPr>
              <w:t xml:space="preserve">Step1</w:t>
            </w:r>
          </w:p>
        </w:tc>
        <w:tc>
          <w:tcPr>
            <w:tcW w:w="4559" w:type="dxa"/>
          </w:tcPr>
          <w:p w14:paraId="3758F803" w14:textId="4ED0F598" w:rsidR="0018274B" w:rsidRDefault="001E57D4" w:rsidP="0018274B">
            <w:pPr>
              <w:spacing w:line="360" w:lineRule="auto"/>
              <w:ind w:firstLineChars="200" w:firstLine="420"/>
              <w:rPr>
                <w:szCs w:val="21"/>
                <w:rFonts w:ascii="宋体" w:eastAsia="宋体" w:hAnsi="宋体"/>
              </w:rPr>
            </w:pPr>
            <w:r>
              <w:rPr>
                <w:szCs w:val="21"/>
                <w:rFonts w:ascii="宋体" w:hAnsi="宋体"/>
              </w:rPr>
              <w:t xml:space="preserve">Check the maximum Pack Voltage (Max Pack Voltage) and the minimum Pack Voltage (Min Pack Voltage) through the monitoring platform for difference judgment.</w:t>
            </w:r>
          </w:p>
          <w:p w14:paraId="2F7461FC" w14:textId="77777777" w:rsidR="008E6614" w:rsidRDefault="001E57D4">
            <w:pPr>
              <w:pStyle w:val="a8"/>
              <w:spacing w:line="360" w:lineRule="auto"/>
              <w:rPr>
                <w:szCs w:val="21"/>
                <w:rFonts w:ascii="宋体" w:eastAsia="宋体" w:hAnsi="宋体"/>
              </w:rPr>
            </w:pPr>
            <w:r>
              <w:rPr>
                <w:szCs w:val="21"/>
                <w:rFonts w:ascii="宋体" w:hAnsi="宋体"/>
              </w:rPr>
              <w:t xml:space="preserve">When the cell voltage difference is above 500mV and the equipment reports the alarm of "cell overvoltage protection", please refer to Step2;</w:t>
            </w:r>
          </w:p>
          <w:p w14:paraId="073EBCA2" w14:textId="5606D4F3" w:rsidR="0018274B" w:rsidRPr="0018274B" w:rsidRDefault="0018274B">
            <w:pPr>
              <w:pStyle w:val="a8"/>
              <w:spacing w:line="360" w:lineRule="auto"/>
              <w:rPr>
                <w:szCs w:val="21"/>
                <w:rFonts w:ascii="宋体" w:eastAsia="宋体" w:hAnsi="宋体"/>
              </w:rPr>
            </w:pPr>
            <w:r>
              <w:rPr>
                <w:szCs w:val="21"/>
                <w:rFonts w:ascii="宋体" w:hAnsi="宋体"/>
              </w:rPr>
              <w:t xml:space="preserve">When the cell voltage differential is below 500mV, please contact the local after-sales service team.</w:t>
            </w:r>
          </w:p>
        </w:tc>
        <w:tc>
          <w:tcPr>
            <w:tcW w:w="3544" w:type="dxa"/>
          </w:tcPr>
          <w:p w14:paraId="0CD7480E" w14:textId="7D92E214" w:rsidR="008E6614" w:rsidRDefault="00ED3DEA">
            <w:pPr>
              <w:pStyle w:val="a8"/>
              <w:spacing w:line="360" w:lineRule="auto"/>
              <w:ind w:firstLineChars="0" w:firstLine="0"/>
              <w:rPr>
                <w:szCs w:val="21"/>
                <w:rFonts w:ascii="宋体" w:eastAsia="宋体" w:hAnsi="宋体"/>
              </w:rPr>
            </w:pPr>
            <w:r>
              <w:drawing>
                <wp:inline distT="0" distB="0" distL="0" distR="0" wp14:anchorId="06F822B0" wp14:editId="1D1E5B39">
                  <wp:extent cx="2190939" cy="11923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06185" cy="1200634"/>
                          </a:xfrm>
                          <a:prstGeom prst="rect">
                            <a:avLst/>
                          </a:prstGeom>
                        </pic:spPr>
                      </pic:pic>
                    </a:graphicData>
                  </a:graphic>
                </wp:inline>
              </w:drawing>
            </w:r>
          </w:p>
        </w:tc>
      </w:tr>
      <w:tr w:rsidR="008E6614" w14:paraId="7AEFE4BF" w14:textId="77777777" w:rsidTr="0018274B">
        <w:tc>
          <w:tcPr>
            <w:tcW w:w="970" w:type="dxa"/>
          </w:tcPr>
          <w:p w14:paraId="5EC64C50" w14:textId="77777777" w:rsidR="008E6614" w:rsidRDefault="001E57D4">
            <w:pPr>
              <w:pStyle w:val="a8"/>
              <w:spacing w:line="360" w:lineRule="auto"/>
              <w:ind w:firstLineChars="0" w:firstLine="0"/>
              <w:rPr>
                <w:szCs w:val="21"/>
                <w:rFonts w:ascii="宋体" w:eastAsia="宋体" w:hAnsi="宋体"/>
              </w:rPr>
            </w:pPr>
            <w:r>
              <w:rPr>
                <w:szCs w:val="21"/>
                <w:rFonts w:ascii="宋体" w:hAnsi="宋体"/>
              </w:rPr>
              <w:t xml:space="preserve">Step2</w:t>
            </w:r>
          </w:p>
        </w:tc>
        <w:tc>
          <w:tcPr>
            <w:tcW w:w="4559" w:type="dxa"/>
          </w:tcPr>
          <w:p w14:paraId="030A85AF" w14:textId="5CC1844E" w:rsidR="008E6614" w:rsidRDefault="00ED3DEA">
            <w:pPr>
              <w:pStyle w:val="a8"/>
              <w:spacing w:line="360" w:lineRule="auto"/>
              <w:rPr>
                <w:szCs w:val="21"/>
                <w:rFonts w:ascii="宋体" w:eastAsia="宋体" w:hAnsi="宋体"/>
              </w:rPr>
            </w:pPr>
            <w:r>
              <w:rPr>
                <w:szCs w:val="21"/>
                <w:rFonts w:ascii="宋体" w:hAnsi="宋体"/>
              </w:rPr>
              <w:t xml:space="preserve">If there is only one battery, please check whether the maximum and minimum cell voltage difference of the battery is above 500mV on the platform, and contact the local after-sales service team.</w:t>
            </w:r>
          </w:p>
          <w:p w14:paraId="7A95C3C4" w14:textId="78E50E45" w:rsidR="00ED3DEA" w:rsidRDefault="00ED3DEA">
            <w:pPr>
              <w:pStyle w:val="a8"/>
              <w:spacing w:line="360" w:lineRule="auto"/>
              <w:rPr>
                <w:szCs w:val="21"/>
                <w:rFonts w:ascii="宋体" w:eastAsia="宋体" w:hAnsi="宋体"/>
              </w:rPr>
            </w:pPr>
            <w:r>
              <w:rPr>
                <w:szCs w:val="21"/>
                <w:rFonts w:ascii="宋体" w:hAnsi="宋体"/>
              </w:rPr>
              <w:t xml:space="preserve">If multiple batteries are connected in parallel, please refer to Step3;</w:t>
            </w:r>
          </w:p>
        </w:tc>
        <w:tc>
          <w:tcPr>
            <w:tcW w:w="3544" w:type="dxa"/>
          </w:tcPr>
          <w:p w14:paraId="5E8429BE" w14:textId="5C982519" w:rsidR="008E6614" w:rsidRDefault="008E6614">
            <w:pPr>
              <w:pStyle w:val="a8"/>
              <w:spacing w:line="360" w:lineRule="auto"/>
              <w:ind w:firstLineChars="0" w:firstLine="0"/>
              <w:rPr>
                <w:rFonts w:ascii="宋体" w:eastAsia="宋体" w:hAnsi="宋体"/>
                <w:szCs w:val="21"/>
              </w:rPr>
            </w:pPr>
          </w:p>
          <w:p w14:paraId="0F423B76" w14:textId="53D41469" w:rsidR="008E6614" w:rsidRPr="00ED3DEA" w:rsidRDefault="008E6614">
            <w:pPr>
              <w:pStyle w:val="a8"/>
              <w:spacing w:line="360" w:lineRule="auto"/>
              <w:rPr>
                <w:rFonts w:ascii="宋体" w:eastAsia="宋体" w:hAnsi="宋体"/>
                <w:szCs w:val="21"/>
              </w:rPr>
            </w:pPr>
          </w:p>
        </w:tc>
      </w:tr>
      <w:tr w:rsidR="00ED3DEA" w14:paraId="591D815B" w14:textId="77777777" w:rsidTr="0018274B">
        <w:tc>
          <w:tcPr>
            <w:tcW w:w="970" w:type="dxa"/>
          </w:tcPr>
          <w:p w14:paraId="3631B076" w14:textId="0C707EDC" w:rsidR="00ED3DEA" w:rsidRPr="00ED3DEA" w:rsidRDefault="00ED3DEA">
            <w:pPr>
              <w:pStyle w:val="a8"/>
              <w:spacing w:line="360" w:lineRule="auto"/>
              <w:ind w:firstLineChars="0" w:firstLine="0"/>
              <w:rPr>
                <w:szCs w:val="21"/>
                <w:rFonts w:ascii="宋体" w:eastAsia="宋体" w:hAnsi="宋体"/>
              </w:rPr>
            </w:pPr>
            <w:r>
              <w:rPr>
                <w:szCs w:val="21"/>
                <w:rFonts w:ascii="宋体" w:hAnsi="宋体"/>
              </w:rPr>
              <w:t xml:space="preserve">Step3</w:t>
            </w:r>
          </w:p>
        </w:tc>
        <w:tc>
          <w:tcPr>
            <w:tcW w:w="4559" w:type="dxa"/>
          </w:tcPr>
          <w:p w14:paraId="1C46681D" w14:textId="77777777" w:rsidR="0018274B" w:rsidRDefault="00ED3DEA">
            <w:pPr>
              <w:pStyle w:val="a8"/>
              <w:spacing w:line="360" w:lineRule="auto"/>
              <w:rPr>
                <w:szCs w:val="21"/>
                <w:rFonts w:ascii="宋体" w:eastAsia="宋体" w:hAnsi="宋体"/>
              </w:rPr>
            </w:pPr>
            <w:r>
              <w:rPr>
                <w:szCs w:val="21"/>
                <w:rFonts w:ascii="宋体" w:hAnsi="宋体"/>
              </w:rPr>
              <w:t xml:space="preserve">Disconnect the parallel connection between the batteries, connect one battery separately to the inverter, and check whether the maximum and minimum cell voltage difference is above 500mV on the platform at this time. Repeat this operation and check the maximum and minimum cell voltage difference of all battery packs.</w:t>
            </w:r>
          </w:p>
          <w:p w14:paraId="4A447A17" w14:textId="77777777" w:rsidR="0018274B" w:rsidRDefault="006D04DB">
            <w:pPr>
              <w:pStyle w:val="a8"/>
              <w:spacing w:line="360" w:lineRule="auto"/>
              <w:rPr>
                <w:szCs w:val="21"/>
                <w:rFonts w:ascii="宋体" w:eastAsia="宋体" w:hAnsi="宋体"/>
              </w:rPr>
            </w:pPr>
            <w:r>
              <w:rPr>
                <w:szCs w:val="21"/>
                <w:rFonts w:ascii="宋体" w:hAnsi="宋体"/>
              </w:rPr>
              <w:t xml:space="preserve">If the maximum and minimum cell voltage difference of the battery pack is above 500mV, please contact the local after-sales service team.</w:t>
            </w:r>
          </w:p>
          <w:p w14:paraId="2B4B7AA8" w14:textId="233F30EB" w:rsidR="00ED3DEA" w:rsidRDefault="006D04DB">
            <w:pPr>
              <w:pStyle w:val="a8"/>
              <w:spacing w:line="360" w:lineRule="auto"/>
              <w:rPr>
                <w:szCs w:val="21"/>
                <w:rFonts w:ascii="宋体" w:eastAsia="宋体" w:hAnsi="宋体"/>
              </w:rPr>
            </w:pPr>
            <w:r>
              <w:rPr>
                <w:szCs w:val="21"/>
                <w:rFonts w:ascii="宋体" w:hAnsi="宋体"/>
              </w:rPr>
              <w:t xml:space="preserve">If all are below 500mV, please refer to Step4;</w:t>
            </w:r>
          </w:p>
        </w:tc>
        <w:tc>
          <w:tcPr>
            <w:tcW w:w="3544" w:type="dxa"/>
          </w:tcPr>
          <w:p w14:paraId="09AD5188" w14:textId="77777777" w:rsidR="00ED3DEA" w:rsidRDefault="00ED3DEA">
            <w:pPr>
              <w:pStyle w:val="a8"/>
              <w:spacing w:line="360" w:lineRule="auto"/>
              <w:rPr>
                <w:rFonts w:ascii="宋体" w:eastAsia="宋体" w:hAnsi="宋体"/>
                <w:szCs w:val="21"/>
              </w:rPr>
            </w:pPr>
          </w:p>
        </w:tc>
      </w:tr>
      <w:tr w:rsidR="008E6614" w14:paraId="3558EE01" w14:textId="77777777" w:rsidTr="0018274B">
        <w:tc>
          <w:tcPr>
            <w:tcW w:w="970" w:type="dxa"/>
          </w:tcPr>
          <w:p w14:paraId="60276D25" w14:textId="18EC1F82" w:rsidR="008E6614" w:rsidRDefault="001E57D4">
            <w:pPr>
              <w:pStyle w:val="a8"/>
              <w:spacing w:line="360" w:lineRule="auto"/>
              <w:ind w:firstLineChars="0" w:firstLine="0"/>
              <w:rPr>
                <w:szCs w:val="21"/>
                <w:rFonts w:ascii="宋体" w:eastAsia="宋体" w:hAnsi="宋体"/>
              </w:rPr>
            </w:pPr>
            <w:r>
              <w:rPr>
                <w:szCs w:val="21"/>
                <w:rFonts w:ascii="宋体" w:hAnsi="宋体"/>
              </w:rPr>
              <w:t xml:space="preserve">Step4</w:t>
            </w:r>
          </w:p>
        </w:tc>
        <w:tc>
          <w:tcPr>
            <w:tcW w:w="4559" w:type="dxa"/>
          </w:tcPr>
          <w:p w14:paraId="639304B9" w14:textId="077FDCD7" w:rsidR="008E6614" w:rsidRDefault="001E57D4">
            <w:pPr>
              <w:pStyle w:val="a8"/>
              <w:spacing w:line="360" w:lineRule="auto"/>
              <w:rPr>
                <w:szCs w:val="21"/>
                <w:rFonts w:ascii="宋体" w:eastAsia="宋体" w:hAnsi="宋体"/>
              </w:rPr>
            </w:pPr>
            <w:r>
              <w:rPr>
                <w:szCs w:val="21"/>
                <w:rFonts w:ascii="宋体" w:hAnsi="宋体"/>
              </w:rPr>
              <w:t xml:space="preserve">Change the inverter mode to a backup mode or user-defined mode to fully charge the battery and repeat until all battery packs are fully charged to 100%.</w:t>
            </w:r>
          </w:p>
        </w:tc>
        <w:tc>
          <w:tcPr>
            <w:tcW w:w="3544" w:type="dxa"/>
          </w:tcPr>
          <w:p w14:paraId="1A2916B5" w14:textId="77777777" w:rsidR="008E6614" w:rsidRDefault="008E6614">
            <w:pPr>
              <w:pStyle w:val="a8"/>
              <w:spacing w:line="360" w:lineRule="auto"/>
              <w:rPr>
                <w:rFonts w:ascii="宋体" w:eastAsia="宋体" w:hAnsi="宋体"/>
                <w:szCs w:val="21"/>
              </w:rPr>
            </w:pPr>
          </w:p>
        </w:tc>
      </w:tr>
    </w:tbl>
    <w:p w14:paraId="2FAF6472" w14:textId="77777777" w:rsidR="008E6614" w:rsidRDefault="008E6614">
      <w:pPr>
        <w:rPr>
          <w:rFonts w:ascii="宋体" w:eastAsia="宋体" w:hAnsi="宋体" w:hint="eastAsia"/>
          <w:sz w:val="28"/>
          <w:szCs w:val="28"/>
        </w:rPr>
      </w:pPr>
    </w:p>
    <w:sectPr w:rsidR="008E6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6A759"/>
    <w:multiLevelType w:val="multilevel"/>
    <w:tmpl w:val="FB76A759"/>
    <w:lvl w:ilvl="0">
      <w:start w:val="1"/>
      <w:numFmt w:val="bullet"/>
      <w:lvlText w:val=""/>
      <w:lvlJc w:val="left"/>
      <w:pPr>
        <w:tabs>
          <w:tab w:val="left" w:pos="0"/>
        </w:tabs>
        <w:ind w:left="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840"/>
        </w:tabs>
        <w:ind w:left="840" w:hanging="420"/>
      </w:pPr>
      <w:rPr>
        <w:rFonts w:ascii="Wingdings" w:hAnsi="Wingdings" w:hint="default"/>
      </w:rPr>
    </w:lvl>
    <w:lvl w:ilvl="3">
      <w:start w:val="1"/>
      <w:numFmt w:val="bullet"/>
      <w:lvlText w:val=""/>
      <w:lvlJc w:val="left"/>
      <w:pPr>
        <w:tabs>
          <w:tab w:val="left" w:pos="1260"/>
        </w:tabs>
        <w:ind w:left="1260" w:hanging="420"/>
      </w:pPr>
      <w:rPr>
        <w:rFonts w:ascii="Wingdings" w:hAnsi="Wingdings" w:hint="default"/>
      </w:rPr>
    </w:lvl>
    <w:lvl w:ilvl="4">
      <w:start w:val="1"/>
      <w:numFmt w:val="bullet"/>
      <w:lvlText w:val=""/>
      <w:lvlJc w:val="left"/>
      <w:pPr>
        <w:tabs>
          <w:tab w:val="left" w:pos="1680"/>
        </w:tabs>
        <w:ind w:left="1680" w:hanging="420"/>
      </w:pPr>
      <w:rPr>
        <w:rFonts w:ascii="Wingdings" w:hAnsi="Wingdings" w:hint="default"/>
      </w:rPr>
    </w:lvl>
    <w:lvl w:ilvl="5">
      <w:start w:val="1"/>
      <w:numFmt w:val="bullet"/>
      <w:lvlText w:val=""/>
      <w:lvlJc w:val="left"/>
      <w:pPr>
        <w:tabs>
          <w:tab w:val="left" w:pos="2100"/>
        </w:tabs>
        <w:ind w:left="2100" w:hanging="420"/>
      </w:pPr>
      <w:rPr>
        <w:rFonts w:ascii="Wingdings" w:hAnsi="Wingdings" w:hint="default"/>
      </w:rPr>
    </w:lvl>
    <w:lvl w:ilvl="6">
      <w:start w:val="1"/>
      <w:numFmt w:val="bullet"/>
      <w:lvlText w:val=""/>
      <w:lvlJc w:val="left"/>
      <w:pPr>
        <w:tabs>
          <w:tab w:val="left" w:pos="2520"/>
        </w:tabs>
        <w:ind w:left="2520" w:hanging="420"/>
      </w:pPr>
      <w:rPr>
        <w:rFonts w:ascii="Wingdings" w:hAnsi="Wingdings" w:hint="default"/>
      </w:rPr>
    </w:lvl>
    <w:lvl w:ilvl="7">
      <w:start w:val="1"/>
      <w:numFmt w:val="bullet"/>
      <w:lvlText w:val=""/>
      <w:lvlJc w:val="left"/>
      <w:pPr>
        <w:tabs>
          <w:tab w:val="left" w:pos="2940"/>
        </w:tabs>
        <w:ind w:left="2940" w:hanging="420"/>
      </w:pPr>
      <w:rPr>
        <w:rFonts w:ascii="Wingdings" w:hAnsi="Wingdings" w:hint="default"/>
      </w:rPr>
    </w:lvl>
    <w:lvl w:ilvl="8">
      <w:start w:val="1"/>
      <w:numFmt w:val="bullet"/>
      <w:lvlText w:val=""/>
      <w:lvlJc w:val="left"/>
      <w:pPr>
        <w:tabs>
          <w:tab w:val="left" w:pos="3360"/>
        </w:tabs>
        <w:ind w:left="3360" w:hanging="420"/>
      </w:pPr>
      <w:rPr>
        <w:rFonts w:ascii="Wingdings" w:hAnsi="Wingdings" w:hint="default"/>
      </w:rPr>
    </w:lvl>
  </w:abstractNum>
  <w:abstractNum w:abstractNumId="1" w15:restartNumberingAfterBreak="0">
    <w:nsid w:val="FDB7320C"/>
    <w:multiLevelType w:val="multilevel"/>
    <w:tmpl w:val="FDB7320C"/>
    <w:lvl w:ilvl="0">
      <w:start w:val="1"/>
      <w:numFmt w:val="bullet"/>
      <w:lvlText w:val=""/>
      <w:lvlJc w:val="left"/>
      <w:pPr>
        <w:tabs>
          <w:tab w:val="left" w:pos="0"/>
        </w:tabs>
        <w:ind w:left="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840"/>
        </w:tabs>
        <w:ind w:left="840" w:hanging="420"/>
      </w:pPr>
      <w:rPr>
        <w:rFonts w:ascii="Wingdings" w:hAnsi="Wingdings" w:hint="default"/>
      </w:rPr>
    </w:lvl>
    <w:lvl w:ilvl="3">
      <w:start w:val="1"/>
      <w:numFmt w:val="bullet"/>
      <w:lvlText w:val=""/>
      <w:lvlJc w:val="left"/>
      <w:pPr>
        <w:tabs>
          <w:tab w:val="left" w:pos="1260"/>
        </w:tabs>
        <w:ind w:left="1260" w:hanging="420"/>
      </w:pPr>
      <w:rPr>
        <w:rFonts w:ascii="Wingdings" w:hAnsi="Wingdings" w:hint="default"/>
      </w:rPr>
    </w:lvl>
    <w:lvl w:ilvl="4">
      <w:start w:val="1"/>
      <w:numFmt w:val="bullet"/>
      <w:lvlText w:val=""/>
      <w:lvlJc w:val="left"/>
      <w:pPr>
        <w:tabs>
          <w:tab w:val="left" w:pos="1680"/>
        </w:tabs>
        <w:ind w:left="1680" w:hanging="420"/>
      </w:pPr>
      <w:rPr>
        <w:rFonts w:ascii="Wingdings" w:hAnsi="Wingdings" w:hint="default"/>
      </w:rPr>
    </w:lvl>
    <w:lvl w:ilvl="5">
      <w:start w:val="1"/>
      <w:numFmt w:val="bullet"/>
      <w:lvlText w:val=""/>
      <w:lvlJc w:val="left"/>
      <w:pPr>
        <w:tabs>
          <w:tab w:val="left" w:pos="2100"/>
        </w:tabs>
        <w:ind w:left="2100" w:hanging="420"/>
      </w:pPr>
      <w:rPr>
        <w:rFonts w:ascii="Wingdings" w:hAnsi="Wingdings" w:hint="default"/>
      </w:rPr>
    </w:lvl>
    <w:lvl w:ilvl="6">
      <w:start w:val="1"/>
      <w:numFmt w:val="bullet"/>
      <w:lvlText w:val=""/>
      <w:lvlJc w:val="left"/>
      <w:pPr>
        <w:tabs>
          <w:tab w:val="left" w:pos="2520"/>
        </w:tabs>
        <w:ind w:left="2520" w:hanging="420"/>
      </w:pPr>
      <w:rPr>
        <w:rFonts w:ascii="Wingdings" w:hAnsi="Wingdings" w:hint="default"/>
      </w:rPr>
    </w:lvl>
    <w:lvl w:ilvl="7">
      <w:start w:val="1"/>
      <w:numFmt w:val="bullet"/>
      <w:lvlText w:val=""/>
      <w:lvlJc w:val="left"/>
      <w:pPr>
        <w:tabs>
          <w:tab w:val="left" w:pos="2940"/>
        </w:tabs>
        <w:ind w:left="2940" w:hanging="420"/>
      </w:pPr>
      <w:rPr>
        <w:rFonts w:ascii="Wingdings" w:hAnsi="Wingdings" w:hint="default"/>
      </w:rPr>
    </w:lvl>
    <w:lvl w:ilvl="8">
      <w:start w:val="1"/>
      <w:numFmt w:val="bullet"/>
      <w:lvlText w:val=""/>
      <w:lvlJc w:val="left"/>
      <w:pPr>
        <w:tabs>
          <w:tab w:val="left" w:pos="3360"/>
        </w:tabs>
        <w:ind w:left="3360" w:hanging="420"/>
      </w:pPr>
      <w:rPr>
        <w:rFonts w:ascii="Wingdings" w:hAnsi="Wingdings" w:hint="default"/>
      </w:rPr>
    </w:lvl>
  </w:abstractNum>
  <w:abstractNum w:abstractNumId="2"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8FD74274"/>
    <w:rsid w:val="BF6F24D2"/>
    <w:rsid w:val="D53B8514"/>
    <w:rsid w:val="FB3FA1EC"/>
    <w:rsid w:val="FBFB8709"/>
    <w:rsid w:val="00063B9F"/>
    <w:rsid w:val="0018274B"/>
    <w:rsid w:val="001C4DE5"/>
    <w:rsid w:val="001E57D4"/>
    <w:rsid w:val="002B3A09"/>
    <w:rsid w:val="002B4477"/>
    <w:rsid w:val="004450AB"/>
    <w:rsid w:val="00563BAA"/>
    <w:rsid w:val="005A543D"/>
    <w:rsid w:val="006A5BEA"/>
    <w:rsid w:val="006D04DB"/>
    <w:rsid w:val="00767EF4"/>
    <w:rsid w:val="008A013A"/>
    <w:rsid w:val="008C4DFD"/>
    <w:rsid w:val="008E6614"/>
    <w:rsid w:val="009F6242"/>
    <w:rsid w:val="00AE50D7"/>
    <w:rsid w:val="00AF63C3"/>
    <w:rsid w:val="00B35014"/>
    <w:rsid w:val="00BD446C"/>
    <w:rsid w:val="00C545E4"/>
    <w:rsid w:val="00CA5660"/>
    <w:rsid w:val="00CE2AB9"/>
    <w:rsid w:val="00DD5C5A"/>
    <w:rsid w:val="00E24EA9"/>
    <w:rsid w:val="00E9736C"/>
    <w:rsid w:val="00ED3DEA"/>
    <w:rsid w:val="00FA52CC"/>
    <w:rsid w:val="00FE31A2"/>
    <w:rsid w:val="1DDD6273"/>
    <w:rsid w:val="23BF472B"/>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B58C6"/>
  <w15:docId w15:val="{C4AB0C6E-94EE-4EF2-9CE4-046F2024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5</cp:revision>
  <dcterms:created xsi:type="dcterms:W3CDTF">2026-03-25T01:36:00Z</dcterms:created>
  <dcterms:modified xsi:type="dcterms:W3CDTF">2026-03-30T01:16:00Z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