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9DE5" w14:textId="473EB862" w:rsidR="00137617" w:rsidRDefault="00DB19D8">
      <w:pPr>
        <w:jc w:val="center"/>
        <w:rPr>
          <w:b/>
          <w:bCs/>
          <w:sz w:val="44"/>
          <w:szCs w:val="44"/>
          <w:rFonts w:ascii="宋体" w:eastAsia="宋体" w:hAnsi="宋体"/>
        </w:rPr>
      </w:pPr>
      <w:r>
        <w:rPr>
          <w:b/>
          <w:bCs/>
          <w:sz w:val="44"/>
          <w:szCs w:val="44"/>
          <w:rFonts w:ascii="宋体" w:hAnsi="宋体"/>
        </w:rPr>
        <w:t xml:space="preserve">Low-volt Battery’s SoC Low Protection Treatment SOP</w:t>
      </w:r>
    </w:p>
    <w:p w14:paraId="367C06D9" w14:textId="77777777" w:rsidR="00137617" w:rsidRPr="00231619" w:rsidRDefault="00137617">
      <w:pPr>
        <w:jc w:val="center"/>
        <w:rPr>
          <w:rFonts w:ascii="宋体" w:eastAsia="宋体" w:hAnsi="宋体"/>
          <w:szCs w:val="21"/>
        </w:rPr>
      </w:pPr>
    </w:p>
    <w:p w14:paraId="4F1F9690" w14:textId="092DCE68" w:rsidR="00137617" w:rsidRDefault="00DB19D8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Name:</w:t>
      </w:r>
      <w:r>
        <w:rPr>
          <w:szCs w:val="21"/>
          <w:rFonts w:ascii="宋体" w:hAnsi="宋体"/>
        </w:rPr>
        <w:t xml:space="preserve">Low voltage battery SoC is too low</w:t>
      </w:r>
    </w:p>
    <w:p w14:paraId="09DFE317" w14:textId="77777777" w:rsidR="00137617" w:rsidRDefault="00DB19D8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code:</w:t>
      </w:r>
      <w:r>
        <w:rPr>
          <w:szCs w:val="21"/>
          <w:rFonts w:ascii="宋体" w:hAnsi="宋体"/>
        </w:rPr>
        <w:t xml:space="preserve">None yet</w:t>
      </w:r>
    </w:p>
    <w:p w14:paraId="23502A60" w14:textId="77777777" w:rsidR="00981C68" w:rsidRPr="00981C68" w:rsidRDefault="00DB19D8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Fault phenomenon:</w:t>
      </w:r>
    </w:p>
    <w:p w14:paraId="69AC18C9" w14:textId="77777777" w:rsidR="00981C68" w:rsidRDefault="00DB19D8" w:rsidP="00981C68">
      <w:pPr>
        <w:pStyle w:val="a8"/>
        <w:numPr>
          <w:ilvl w:val="0"/>
          <w:numId w:val="3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The machine reports that the battery voltage is too low</w:t>
      </w:r>
    </w:p>
    <w:p w14:paraId="6D17957C" w14:textId="3C8C33CD" w:rsidR="00137617" w:rsidRDefault="00DB19D8" w:rsidP="00981C68">
      <w:pPr>
        <w:pStyle w:val="a8"/>
        <w:numPr>
          <w:ilvl w:val="0"/>
          <w:numId w:val="3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Abnormal battery failure</w:t>
      </w:r>
    </w:p>
    <w:p w14:paraId="3CCEB5BA" w14:textId="77777777" w:rsidR="00137617" w:rsidRDefault="00DB19D8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Cause of failure:</w:t>
      </w:r>
    </w:p>
    <w:p w14:paraId="611E67D3" w14:textId="77777777" w:rsidR="00137617" w:rsidRDefault="00DB19D8">
      <w:pPr>
        <w:pStyle w:val="a8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BMS firmware version is too low</w:t>
      </w:r>
    </w:p>
    <w:p w14:paraId="6681FFE3" w14:textId="77777777" w:rsidR="00137617" w:rsidRDefault="00DB19D8">
      <w:pPr>
        <w:pStyle w:val="a8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Not fully charging the battery to 100% for a long time</w:t>
      </w:r>
    </w:p>
    <w:p w14:paraId="2442996F" w14:textId="77777777" w:rsidR="00137617" w:rsidRDefault="00DB19D8">
      <w:pPr>
        <w:pStyle w:val="a8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Failure to regularly recharge the battery</w:t>
      </w:r>
    </w:p>
    <w:p w14:paraId="2A04F55E" w14:textId="15487FA4" w:rsidR="00137617" w:rsidRDefault="00DB19D8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Applicable models:</w:t>
      </w:r>
      <w:r>
        <w:rPr>
          <w:szCs w:val="21"/>
          <w:rFonts w:ascii="宋体" w:hAnsi="宋体"/>
        </w:rPr>
        <w:t xml:space="preserve">BLF51-5</w:t>
      </w:r>
    </w:p>
    <w:p w14:paraId="1B45D9EA" w14:textId="77777777" w:rsidR="00137617" w:rsidRDefault="00DB19D8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088"/>
        <w:gridCol w:w="4349"/>
        <w:gridCol w:w="3636"/>
      </w:tblGrid>
      <w:tr w:rsidR="00137617" w14:paraId="6500BA99" w14:textId="77777777">
        <w:tc>
          <w:tcPr>
            <w:tcW w:w="1088" w:type="dxa"/>
          </w:tcPr>
          <w:p w14:paraId="61C5936A" w14:textId="77777777" w:rsidR="00137617" w:rsidRDefault="00DB19D8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4349" w:type="dxa"/>
          </w:tcPr>
          <w:p w14:paraId="73B52631" w14:textId="77777777" w:rsidR="00137617" w:rsidRDefault="00DB19D8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3636" w:type="dxa"/>
          </w:tcPr>
          <w:p w14:paraId="07871A18" w14:textId="77777777" w:rsidR="00137617" w:rsidRDefault="00DB19D8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137617" w14:paraId="4F8835C9" w14:textId="77777777">
        <w:tc>
          <w:tcPr>
            <w:tcW w:w="1088" w:type="dxa"/>
          </w:tcPr>
          <w:p w14:paraId="68035C0B" w14:textId="77777777" w:rsidR="00137617" w:rsidRDefault="00DB19D8">
            <w:pPr>
              <w:pStyle w:val="a8"/>
              <w:spacing w:line="360" w:lineRule="auto"/>
              <w:ind w:firstLineChars="0" w:firstLine="0"/>
              <w:rPr>
                <w:color w:val="70AD47" w:themeColor="accent6"/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4349" w:type="dxa"/>
          </w:tcPr>
          <w:p w14:paraId="63EEF161" w14:textId="223897EE" w:rsidR="00137617" w:rsidRDefault="00DB19D8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Check whether the BMS is the latest version on the monitoring platform, and if not, upgrade to the latest version.</w:t>
            </w:r>
          </w:p>
          <w:p w14:paraId="60AEF8D8" w14:textId="77777777" w:rsidR="00137617" w:rsidRDefault="00DB19D8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it is already the latest version, jump to Step2;</w:t>
            </w:r>
          </w:p>
        </w:tc>
        <w:tc>
          <w:tcPr>
            <w:tcW w:w="3636" w:type="dxa"/>
          </w:tcPr>
          <w:p w14:paraId="338D51CF" w14:textId="77777777" w:rsidR="00137617" w:rsidRDefault="00137617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137617" w14:paraId="5C09A759" w14:textId="77777777">
        <w:tc>
          <w:tcPr>
            <w:tcW w:w="1088" w:type="dxa"/>
          </w:tcPr>
          <w:p w14:paraId="378433B7" w14:textId="77777777" w:rsidR="00137617" w:rsidRDefault="00DB19D8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4349" w:type="dxa"/>
          </w:tcPr>
          <w:p w14:paraId="65C0C932" w14:textId="77777777" w:rsidR="00137617" w:rsidRDefault="00DB19D8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Check the battery SOC and cell voltage on the monitoring platform:</w:t>
            </w:r>
          </w:p>
          <w:p w14:paraId="2FF37B93" w14:textId="77777777" w:rsidR="00137617" w:rsidRDefault="00DB19D8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it is found that the battery SOC is below 10% for a long time and the single cell voltage is less than 3V but greater than 2.5, jump to Step3;</w:t>
            </w:r>
          </w:p>
          <w:p w14:paraId="2AD88C46" w14:textId="77777777" w:rsidR="00137617" w:rsidRDefault="00DB19D8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single cell voltage is less than 2.5V, jump to Step4;</w:t>
            </w:r>
          </w:p>
        </w:tc>
        <w:tc>
          <w:tcPr>
            <w:tcW w:w="3636" w:type="dxa"/>
          </w:tcPr>
          <w:p w14:paraId="508A130D" w14:textId="77777777" w:rsidR="00137617" w:rsidRDefault="00DB19D8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114300" distR="114300" wp14:anchorId="00030E7D" wp14:editId="104F8FFB">
                  <wp:extent cx="2160270" cy="668020"/>
                  <wp:effectExtent l="0" t="0" r="11430" b="177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617" w14:paraId="2D1B75DB" w14:textId="77777777">
        <w:tc>
          <w:tcPr>
            <w:tcW w:w="1088" w:type="dxa"/>
          </w:tcPr>
          <w:p w14:paraId="7965E210" w14:textId="77777777" w:rsidR="00137617" w:rsidRDefault="00DB19D8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4349" w:type="dxa"/>
          </w:tcPr>
          <w:p w14:paraId="549E6CC2" w14:textId="7C31960D" w:rsidR="00137617" w:rsidRDefault="00DB19D8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Manually set the inverter mode to either backup mode or TOU mode to fully charge the battery to 100%.</w:t>
            </w:r>
          </w:p>
        </w:tc>
        <w:tc>
          <w:tcPr>
            <w:tcW w:w="3636" w:type="dxa"/>
          </w:tcPr>
          <w:p w14:paraId="5CBF2C83" w14:textId="77777777" w:rsidR="00137617" w:rsidRDefault="00DB19D8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114300" distR="114300" wp14:anchorId="575336FF" wp14:editId="2E71BFC0">
                  <wp:extent cx="2160270" cy="1223010"/>
                  <wp:effectExtent l="0" t="0" r="11430" b="152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617" w14:paraId="6A5C66C0" w14:textId="77777777">
        <w:tc>
          <w:tcPr>
            <w:tcW w:w="1088" w:type="dxa"/>
          </w:tcPr>
          <w:p w14:paraId="11852B5A" w14:textId="77777777" w:rsidR="00137617" w:rsidRDefault="00DB19D8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Step4</w:t>
            </w:r>
          </w:p>
        </w:tc>
        <w:tc>
          <w:tcPr>
            <w:tcW w:w="4349" w:type="dxa"/>
          </w:tcPr>
          <w:p w14:paraId="2A412752" w14:textId="0D3C4F80" w:rsidR="009F5CC9" w:rsidRDefault="00DB19D8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Refer to attached documentation:</w:t>
            </w:r>
            <w:r>
              <w:rPr>
                <w:szCs w:val="21"/>
                <w:i/>
                <w:iCs/>
                <w:color w:val="FF0000"/>
                <w:rFonts w:ascii="宋体" w:hAnsi="宋体"/>
              </w:rPr>
              <w:t xml:space="preserve">New model DC charger operation SOP</w:t>
            </w:r>
            <w:r>
              <w:rPr>
                <w:szCs w:val="21"/>
                <w:i/>
                <w:iCs/>
                <w:rFonts w:ascii="宋体" w:hAnsi="宋体"/>
              </w:rPr>
              <w:t xml:space="preserve">，</w:t>
            </w:r>
            <w:r>
              <w:rPr>
                <w:szCs w:val="21"/>
                <w:rFonts w:ascii="宋体" w:hAnsi="宋体"/>
              </w:rPr>
              <w:t xml:space="preserve">Recharge the battery.</w:t>
            </w:r>
          </w:p>
          <w:p w14:paraId="3CDCD88A" w14:textId="2050D844" w:rsidR="00137617" w:rsidRDefault="00DB19D8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battery SoC value is still very low after replenishment, please contact your local after-sales service team.</w:t>
            </w:r>
          </w:p>
        </w:tc>
        <w:tc>
          <w:tcPr>
            <w:tcW w:w="3636" w:type="dxa"/>
          </w:tcPr>
          <w:p w14:paraId="7F6BEC7D" w14:textId="77777777" w:rsidR="00137617" w:rsidRDefault="00137617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14:paraId="75DED0F4" w14:textId="77777777" w:rsidR="00137617" w:rsidRDefault="00137617">
      <w:pPr>
        <w:rPr>
          <w:rFonts w:ascii="宋体" w:eastAsia="宋体" w:hAnsi="宋体"/>
          <w:sz w:val="28"/>
          <w:szCs w:val="28"/>
        </w:rPr>
      </w:pPr>
    </w:p>
    <w:sectPr w:rsidR="00137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DF6B1" w14:textId="77777777" w:rsidR="00C2448B" w:rsidRDefault="00C2448B" w:rsidP="00231619">
      <w:r>
        <w:separator/>
      </w:r>
    </w:p>
  </w:endnote>
  <w:endnote w:type="continuationSeparator" w:id="0">
    <w:p w14:paraId="6051CA9A" w14:textId="77777777" w:rsidR="00C2448B" w:rsidRDefault="00C2448B" w:rsidP="0023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3711" w14:textId="77777777" w:rsidR="00C2448B" w:rsidRDefault="00C2448B" w:rsidP="00231619">
      <w:r>
        <w:separator/>
      </w:r>
    </w:p>
  </w:footnote>
  <w:footnote w:type="continuationSeparator" w:id="0">
    <w:p w14:paraId="1FF5AE56" w14:textId="77777777" w:rsidR="00C2448B" w:rsidRDefault="00C2448B" w:rsidP="0023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64CBC7"/>
    <w:multiLevelType w:val="singleLevel"/>
    <w:tmpl w:val="8A64CBC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A3F4B67"/>
    <w:multiLevelType w:val="hybridMultilevel"/>
    <w:tmpl w:val="C0528F3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413AA"/>
    <w:rsid w:val="00137617"/>
    <w:rsid w:val="001E26AB"/>
    <w:rsid w:val="00231619"/>
    <w:rsid w:val="002B3A09"/>
    <w:rsid w:val="004450AB"/>
    <w:rsid w:val="005A543D"/>
    <w:rsid w:val="00767EF4"/>
    <w:rsid w:val="00831016"/>
    <w:rsid w:val="008A013A"/>
    <w:rsid w:val="008C4DFD"/>
    <w:rsid w:val="008D602F"/>
    <w:rsid w:val="00981C68"/>
    <w:rsid w:val="009F5CC9"/>
    <w:rsid w:val="00AE50D7"/>
    <w:rsid w:val="00B35014"/>
    <w:rsid w:val="00B724EA"/>
    <w:rsid w:val="00BD446C"/>
    <w:rsid w:val="00C2448B"/>
    <w:rsid w:val="00C545E4"/>
    <w:rsid w:val="00D14743"/>
    <w:rsid w:val="00D81BA7"/>
    <w:rsid w:val="00DB19D8"/>
    <w:rsid w:val="00E7044A"/>
    <w:rsid w:val="00FA52CC"/>
    <w:rsid w:val="00FE31A2"/>
    <w:rsid w:val="0C3E353A"/>
    <w:rsid w:val="13C55D86"/>
    <w:rsid w:val="3AB02FA5"/>
    <w:rsid w:val="3BB80364"/>
    <w:rsid w:val="55713605"/>
    <w:rsid w:val="6DD10C8D"/>
    <w:rsid w:val="6F9F81A6"/>
    <w:rsid w:val="73614861"/>
    <w:rsid w:val="7F4B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7AA9EC"/>
  <w15:docId w15:val="{C79A6A21-1935-4B1E-9D79-5C5EDBFC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10</cp:revision>
  <dcterms:created xsi:type="dcterms:W3CDTF">2026-01-28T18:13:00Z</dcterms:created>
  <dcterms:modified xsi:type="dcterms:W3CDTF">2026-04-24T11:08:00Z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eyJoZGlkIjoiYzMwMjBhZDk2ZjA2NmZjOWQ4YjFkMjIyMmI1NmVlM2EiLCJ1c2VySWQiOiI3OTc0NDI4OTUifQ==</vt:lpwstr>
  </property>
  <property fmtid="{D5CDD505-2E9C-101B-9397-08002B2CF9AE}" pid="4" name="ICV">
    <vt:lpwstr>217B48F6208A474EAC791C04C717EB18_13</vt:lpwstr>
  </property>
</Properties>
</file>